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bookmarkStart w:id="0" w:name="_GoBack"/>
      <w:bookmarkEnd w:id="0"/>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283C99">
              <w:rPr>
                <w:i w:val="0"/>
                <w:noProof/>
                <w:webHidden/>
              </w:rPr>
              <w:t>3</w:t>
            </w:r>
            <w:r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283C99">
              <w:rPr>
                <w:i w:val="0"/>
                <w:noProof/>
                <w:webHidden/>
              </w:rPr>
              <w:t>4</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283C99">
              <w:rPr>
                <w:i w:val="0"/>
                <w:noProof/>
                <w:webHidden/>
              </w:rPr>
              <w:t>7</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283C99">
              <w:rPr>
                <w:i w:val="0"/>
                <w:noProof/>
                <w:webHidden/>
              </w:rPr>
              <w:t>9</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283C99">
              <w:rPr>
                <w:i w:val="0"/>
                <w:noProof/>
                <w:webHidden/>
              </w:rPr>
              <w:t>10</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283C99">
              <w:rPr>
                <w:i w:val="0"/>
                <w:noProof/>
                <w:webHidden/>
              </w:rPr>
              <w:t>12</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283C99">
              <w:rPr>
                <w:i w:val="0"/>
                <w:noProof/>
                <w:webHidden/>
              </w:rPr>
              <w:t>15</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283C99">
              <w:rPr>
                <w:i w:val="0"/>
                <w:noProof/>
                <w:webHidden/>
              </w:rPr>
              <w:t>17</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283C99">
              <w:rPr>
                <w:i w:val="0"/>
                <w:noProof/>
                <w:webHidden/>
              </w:rPr>
              <w:t>18</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283C99">
              <w:rPr>
                <w:i w:val="0"/>
                <w:noProof/>
                <w:webHidden/>
              </w:rPr>
              <w:t>19</w:t>
            </w:r>
            <w:r w:rsidR="003A5AF6" w:rsidRPr="006E1470">
              <w:rPr>
                <w:i w:val="0"/>
                <w:noProof/>
                <w:webHidden/>
              </w:rPr>
              <w:fldChar w:fldCharType="end"/>
            </w:r>
          </w:hyperlink>
        </w:p>
        <w:p w:rsidR="006E1470" w:rsidRPr="006E1470" w:rsidRDefault="00783B4D">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283C99">
              <w:rPr>
                <w:i w:val="0"/>
                <w:noProof/>
                <w:webHidden/>
              </w:rPr>
              <w:t>23</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283C99">
              <w:rPr>
                <w:i w:val="0"/>
                <w:noProof/>
                <w:webHidden/>
              </w:rPr>
              <w:t>27</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283C99">
              <w:rPr>
                <w:i w:val="0"/>
                <w:noProof/>
                <w:webHidden/>
              </w:rPr>
              <w:t>31</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283C99">
              <w:rPr>
                <w:i w:val="0"/>
                <w:noProof/>
                <w:webHidden/>
              </w:rPr>
              <w:t>47</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283C99">
              <w:rPr>
                <w:i w:val="0"/>
                <w:noProof/>
                <w:webHidden/>
              </w:rPr>
              <w:t>50</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283C99">
              <w:rPr>
                <w:i w:val="0"/>
                <w:noProof/>
                <w:webHidden/>
              </w:rPr>
              <w:t>51</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283C99">
              <w:rPr>
                <w:i w:val="0"/>
                <w:noProof/>
                <w:webHidden/>
              </w:rPr>
              <w:t>53</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283C99">
              <w:rPr>
                <w:i w:val="0"/>
                <w:noProof/>
                <w:webHidden/>
              </w:rPr>
              <w:t>55</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283C99">
              <w:rPr>
                <w:i w:val="0"/>
                <w:noProof/>
                <w:webHidden/>
              </w:rPr>
              <w:t>58</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283C99">
              <w:rPr>
                <w:i w:val="0"/>
                <w:noProof/>
                <w:webHidden/>
              </w:rPr>
              <w:t>61</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rsidR="006E1470" w:rsidRP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283C99">
              <w:rPr>
                <w:i w:val="0"/>
                <w:noProof/>
                <w:webHidden/>
              </w:rPr>
              <w:t>63</w:t>
            </w:r>
            <w:r w:rsidR="003A5AF6" w:rsidRPr="006E1470">
              <w:rPr>
                <w:i w:val="0"/>
                <w:noProof/>
                <w:webHidden/>
              </w:rPr>
              <w:fldChar w:fldCharType="end"/>
            </w:r>
          </w:hyperlink>
        </w:p>
        <w:p w:rsidR="006E1470" w:rsidRDefault="00783B4D">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283C99">
              <w:rPr>
                <w:i w:val="0"/>
                <w:noProof/>
                <w:webHidden/>
              </w:rPr>
              <w:t>64</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AD6B2F">
      <w:pPr>
        <w:pStyle w:val="Nagwek1"/>
      </w:pPr>
      <w:bookmarkStart w:id="1" w:name="_Toc438759768"/>
      <w:r>
        <w:lastRenderedPageBreak/>
        <w:t>ROZDZIAŁ</w:t>
      </w:r>
      <w:r w:rsidR="009E68F1" w:rsidRPr="009E68F1">
        <w:t xml:space="preserve"> I </w:t>
      </w:r>
      <w:r w:rsidR="00CC6B53" w:rsidRPr="009E68F1">
        <w:t xml:space="preserve">Charakterystyka </w:t>
      </w:r>
      <w:r w:rsidR="009E68F1">
        <w:t>LGD</w:t>
      </w:r>
      <w:bookmarkEnd w:id="1"/>
    </w:p>
    <w:p w:rsidR="009E68F1" w:rsidRPr="00AC22F0" w:rsidRDefault="009E68F1" w:rsidP="00386F73">
      <w:pPr>
        <w:pStyle w:val="Nagwek2"/>
      </w:pPr>
      <w:bookmarkStart w:id="2" w:name="_Toc435975914"/>
      <w:bookmarkStart w:id="3" w:name="_Toc438759769"/>
      <w:r w:rsidRPr="00AC22F0">
        <w:t>1. Forma prawna</w:t>
      </w:r>
      <w:bookmarkEnd w:id="2"/>
      <w:bookmarkEnd w:id="3"/>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4" w:name="_Toc435975915"/>
      <w:bookmarkStart w:id="5" w:name="_Toc438759770"/>
      <w:r w:rsidRPr="00AC22F0">
        <w:t>2. Obszar</w:t>
      </w:r>
      <w:bookmarkEnd w:id="4"/>
      <w:bookmarkEnd w:id="5"/>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6"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7"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283C99">
        <w:t>1</w:t>
      </w:r>
      <w:r w:rsidR="003A5AF6" w:rsidRPr="0000412D">
        <w:fldChar w:fldCharType="end"/>
      </w:r>
      <w:r w:rsidRPr="0000412D">
        <w:t xml:space="preserve"> Podstawowe dane na temat obszaru LGD</w:t>
      </w:r>
      <w:r w:rsidR="00985103" w:rsidRPr="0000412D">
        <w:t>„Nad Czarną i Pilicą”</w:t>
      </w:r>
      <w:bookmarkEnd w:id="6"/>
      <w:bookmarkEnd w:id="7"/>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8" w:name="_Toc436509418"/>
      <w:r>
        <w:t xml:space="preserve">Rysunek </w:t>
      </w:r>
      <w:r w:rsidR="003A5AF6">
        <w:fldChar w:fldCharType="begin"/>
      </w:r>
      <w:r>
        <w:instrText xml:space="preserve"> SEQ Rysunek \* ARABIC </w:instrText>
      </w:r>
      <w:r w:rsidR="003A5AF6">
        <w:fldChar w:fldCharType="separate"/>
      </w:r>
      <w:r w:rsidR="00283C99">
        <w:t>1</w:t>
      </w:r>
      <w:r w:rsidR="003A5AF6">
        <w:fldChar w:fldCharType="end"/>
      </w:r>
      <w:r w:rsidRPr="000930DA">
        <w:t>Obszar działania LGD „Nad Czarną i Pilicą”</w:t>
      </w:r>
      <w:bookmarkEnd w:id="8"/>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17A03F20" wp14:editId="79A26266">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9" w:name="_Toc438759771"/>
      <w:r>
        <w:t xml:space="preserve">3. </w:t>
      </w:r>
      <w:r w:rsidR="002F0FDC" w:rsidRPr="00AC22F0">
        <w:t>Potencjał i doświadczenie LGD</w:t>
      </w:r>
      <w:bookmarkEnd w:id="9"/>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10"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283C99">
        <w:t>2</w:t>
      </w:r>
      <w:r w:rsidR="003A5AF6" w:rsidRPr="00104CC1">
        <w:fldChar w:fldCharType="end"/>
      </w:r>
      <w:r w:rsidRPr="00104CC1">
        <w:t xml:space="preserve"> Dokumenty wewnętrzne regulujące działanie LGD</w:t>
      </w:r>
      <w:bookmarkEnd w:id="10"/>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AD6B2F">
      <w:pPr>
        <w:pStyle w:val="Nagwek1"/>
      </w:pPr>
      <w:bookmarkStart w:id="11" w:name="_Toc438759772"/>
      <w:r w:rsidRPr="00B2744E">
        <w:t>R</w:t>
      </w:r>
      <w:r w:rsidR="002F0FDC">
        <w:t>OZDZIAŁ II Partycypacyjny charak</w:t>
      </w:r>
      <w:r w:rsidRPr="00B2744E">
        <w:t>ter LSR</w:t>
      </w:r>
      <w:bookmarkEnd w:id="11"/>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2" w:name="_Toc438495963"/>
      <w:r>
        <w:t xml:space="preserve">Tabela </w:t>
      </w:r>
      <w:r w:rsidR="003A5AF6">
        <w:fldChar w:fldCharType="begin"/>
      </w:r>
      <w:r>
        <w:instrText xml:space="preserve"> SEQ Tabela \* ARABIC </w:instrText>
      </w:r>
      <w:r w:rsidR="003A5AF6">
        <w:fldChar w:fldCharType="separate"/>
      </w:r>
      <w:r w:rsidR="00283C99">
        <w:t>3</w:t>
      </w:r>
      <w:r w:rsidR="003A5AF6">
        <w:fldChar w:fldCharType="end"/>
      </w:r>
      <w:r w:rsidRPr="00A03242">
        <w:t>Zastosowane metody partycypacji w zależności od etapu opracow</w:t>
      </w:r>
      <w:r>
        <w:t>yw</w:t>
      </w:r>
      <w:r w:rsidRPr="00A03242">
        <w:t>ania LSR</w:t>
      </w:r>
      <w:bookmarkEnd w:id="12"/>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AD6B2F">
      <w:pPr>
        <w:pStyle w:val="Nagwek1"/>
      </w:pPr>
      <w:bookmarkStart w:id="13" w:name="_Toc438759773"/>
      <w:r w:rsidRPr="00B2744E">
        <w:t xml:space="preserve">ROZDZIAŁ III </w:t>
      </w:r>
      <w:bookmarkStart w:id="14" w:name="_Toc435975918"/>
      <w:r w:rsidRPr="00B2744E">
        <w:t>Diagnoza – opis obszaru i ludności</w:t>
      </w:r>
      <w:bookmarkEnd w:id="13"/>
      <w:bookmarkEnd w:id="14"/>
    </w:p>
    <w:p w:rsidR="00B75E72" w:rsidRPr="00AC22F0" w:rsidRDefault="00B2744E" w:rsidP="00386F73">
      <w:pPr>
        <w:pStyle w:val="Nagwek2"/>
      </w:pPr>
      <w:bookmarkStart w:id="15" w:name="_Toc438759774"/>
      <w:r w:rsidRPr="00AC22F0">
        <w:lastRenderedPageBreak/>
        <w:t xml:space="preserve">1. </w:t>
      </w:r>
      <w:r w:rsidR="00351DED" w:rsidRPr="00AC22F0">
        <w:t>Charakterystyka demograficzna</w:t>
      </w:r>
      <w:bookmarkEnd w:id="15"/>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6" w:name="_Toc436207703"/>
      <w:bookmarkStart w:id="17"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6"/>
      <w:bookmarkEnd w:id="17"/>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8" w:name="_Toc436207759"/>
      <w:bookmarkStart w:id="19"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283C9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8"/>
      <w:bookmarkEnd w:id="19"/>
    </w:p>
    <w:p w:rsidR="00FD19AD" w:rsidRDefault="00310272" w:rsidP="009E68F1">
      <w:pPr>
        <w:pStyle w:val="Styl2"/>
        <w:spacing w:line="276" w:lineRule="auto"/>
        <w:jc w:val="center"/>
      </w:pPr>
      <w:r w:rsidRPr="00310272">
        <w:rPr>
          <w:noProof/>
          <w:lang w:eastAsia="pl-PL" w:bidi="ar-SA"/>
        </w:rPr>
        <w:drawing>
          <wp:inline distT="0" distB="0" distL="0" distR="0" wp14:anchorId="65A5D099" wp14:editId="25406D01">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20" w:name="_Toc436207760"/>
      <w:bookmarkStart w:id="21"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20"/>
      <w:bookmarkEnd w:id="21"/>
    </w:p>
    <w:p w:rsidR="00AE24B4" w:rsidRDefault="00001895" w:rsidP="009E68F1">
      <w:pPr>
        <w:pStyle w:val="Styl2"/>
        <w:spacing w:line="276" w:lineRule="auto"/>
        <w:jc w:val="center"/>
      </w:pPr>
      <w:r w:rsidRPr="00001895">
        <w:rPr>
          <w:i/>
          <w:noProof/>
          <w:lang w:eastAsia="pl-PL" w:bidi="ar-SA"/>
        </w:rPr>
        <w:drawing>
          <wp:inline distT="0" distB="0" distL="0" distR="0" wp14:anchorId="33A276A9" wp14:editId="7AAF0D2E">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2" w:name="_Toc436207761"/>
      <w:bookmarkStart w:id="23"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2"/>
      <w:bookmarkEnd w:id="23"/>
    </w:p>
    <w:p w:rsidR="00754409" w:rsidRDefault="00754409" w:rsidP="005B702E">
      <w:pPr>
        <w:pStyle w:val="Legenda"/>
      </w:pPr>
    </w:p>
    <w:p w:rsidR="001A345B" w:rsidRDefault="00201283" w:rsidP="005B702E">
      <w:pPr>
        <w:pStyle w:val="Legenda"/>
      </w:pPr>
      <w:r>
        <w:drawing>
          <wp:inline distT="0" distB="0" distL="0" distR="0" wp14:anchorId="28998B1C" wp14:editId="257A6C24">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4" w:name="_Toc438759775"/>
      <w:r w:rsidRPr="00236266">
        <w:t xml:space="preserve">2. </w:t>
      </w:r>
      <w:r w:rsidR="00321CBE" w:rsidRPr="00236266">
        <w:t>Charakterystyka gospodarki, przedsiębiorczości i sektora społecznego</w:t>
      </w:r>
      <w:bookmarkEnd w:id="24"/>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5" w:name="_Toc436207704"/>
      <w:bookmarkStart w:id="26"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5"/>
      <w:bookmarkEnd w:id="26"/>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7" w:name="_Toc436207762"/>
      <w:bookmarkStart w:id="28"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7"/>
      <w:bookmarkEnd w:id="28"/>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6493790B" wp14:editId="08977E48">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9" w:name="_Toc438759776"/>
      <w:r w:rsidRPr="00386F73">
        <w:t xml:space="preserve">3. </w:t>
      </w:r>
      <w:r w:rsidR="00561A31" w:rsidRPr="00386F73">
        <w:t>Charakterystyka rynku pracy – zatrudnienie i bezrobocie</w:t>
      </w:r>
      <w:bookmarkEnd w:id="29"/>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30" w:name="_Toc436207705"/>
      <w:bookmarkStart w:id="31"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30"/>
      <w:bookmarkEnd w:id="31"/>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2" w:name="_Toc436207706"/>
      <w:bookmarkStart w:id="33"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2"/>
      <w:bookmarkEnd w:id="33"/>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4" w:name="_Toc438759777"/>
      <w:r w:rsidRPr="00386F73">
        <w:t xml:space="preserve">4. </w:t>
      </w:r>
      <w:r w:rsidR="005B2801" w:rsidRPr="00386F73">
        <w:t>Opieka</w:t>
      </w:r>
      <w:r w:rsidR="00561A31" w:rsidRPr="00386F73">
        <w:t xml:space="preserve"> społeczna</w:t>
      </w:r>
      <w:bookmarkEnd w:id="34"/>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5" w:name="_Toc436207707"/>
      <w:bookmarkStart w:id="36"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283C9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5"/>
      <w:bookmarkEnd w:id="36"/>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7" w:name="_Toc438759778"/>
      <w:r w:rsidRPr="00386F73">
        <w:t xml:space="preserve">5. </w:t>
      </w:r>
      <w:r w:rsidR="00B2744E" w:rsidRPr="00386F73">
        <w:t>Infrastruktura</w:t>
      </w:r>
      <w:bookmarkEnd w:id="37"/>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8" w:name="_Toc436207708"/>
      <w:bookmarkStart w:id="39"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8"/>
      <w:bookmarkEnd w:id="39"/>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40"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40"/>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1" w:name="_Toc436207702"/>
      <w:bookmarkStart w:id="42"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10</w:t>
      </w:r>
      <w:r w:rsidR="003A5AF6" w:rsidRPr="0000412D">
        <w:fldChar w:fldCharType="end"/>
      </w:r>
      <w:r w:rsidRPr="0000412D">
        <w:t xml:space="preserve"> Formy ochrony przyrody na obszarze LGD „Nad Czarną i Pilicą”</w:t>
      </w:r>
      <w:bookmarkEnd w:id="41"/>
      <w:bookmarkEnd w:id="42"/>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3"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3"/>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rsidR="00C434D2" w:rsidRPr="00C434D2" w:rsidRDefault="00C434D2" w:rsidP="00A37EE1">
      <w:pPr>
        <w:shd w:val="clear" w:color="auto" w:fill="FFFF00"/>
        <w:spacing w:line="276" w:lineRule="auto"/>
        <w:ind w:firstLine="708"/>
        <w:rPr>
          <w:b/>
          <w:i w:val="0"/>
        </w:rPr>
      </w:pPr>
      <w:r w:rsidRPr="00C434D2">
        <w:rPr>
          <w:b/>
          <w:i w:val="0"/>
        </w:rPr>
        <w:t xml:space="preserve">Ponowna diagnoza przeprowadzana na potrzeby ubiegania się o </w:t>
      </w:r>
      <w:r>
        <w:rPr>
          <w:b/>
          <w:i w:val="0"/>
        </w:rPr>
        <w:t xml:space="preserve">kolejne </w:t>
      </w:r>
      <w:r w:rsidRPr="00C434D2">
        <w:rPr>
          <w:b/>
          <w:i w:val="0"/>
        </w:rPr>
        <w:t>dodatkowe środki w ramach realizacji LSR.</w:t>
      </w:r>
    </w:p>
    <w:p w:rsidR="002B35E5" w:rsidRDefault="00C434D2" w:rsidP="00A37EE1">
      <w:pPr>
        <w:shd w:val="clear" w:color="auto" w:fill="FFFF00"/>
        <w:spacing w:line="276" w:lineRule="auto"/>
        <w:ind w:firstLine="708"/>
        <w:rPr>
          <w:i w:val="0"/>
        </w:rPr>
      </w:pPr>
      <w:r w:rsidRPr="00C434D2">
        <w:rPr>
          <w:i w:val="0"/>
        </w:rPr>
        <w:tab/>
        <w:t xml:space="preserve">LGD </w:t>
      </w:r>
      <w:r w:rsidR="00626075">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C434D2">
        <w:rPr>
          <w:i w:val="0"/>
        </w:rPr>
        <w:t>przeprowadziła</w:t>
      </w:r>
      <w:r w:rsidR="009C31FF">
        <w:rPr>
          <w:i w:val="0"/>
        </w:rPr>
        <w:t xml:space="preserve"> w dniach 03-17</w:t>
      </w:r>
      <w:r w:rsidR="00626075">
        <w:rPr>
          <w:i w:val="0"/>
        </w:rPr>
        <w:t xml:space="preserve"> luty 2020 r. konsultacje społeczne dotyczące aktualizacji LSR. Kwota dodatkowych środków finansowych wynosi 520 000,00 zł</w:t>
      </w:r>
      <w:r w:rsidR="002B35E5">
        <w:rPr>
          <w:i w:val="0"/>
        </w:rPr>
        <w:t>, z których minimum 50% obligatoryjnie należy przeznaczyć na przedsięwzięcia w ramach których uzyskanie dotacji wiąże się z powstaniem nowych miejsc pracy (podejmowanie lub rozwój działalności gospodarczej).</w:t>
      </w:r>
    </w:p>
    <w:p w:rsidR="002B35E5" w:rsidRDefault="002B35E5" w:rsidP="00A37EE1">
      <w:pPr>
        <w:shd w:val="clear" w:color="auto" w:fill="FFFF00"/>
        <w:spacing w:line="276" w:lineRule="auto"/>
        <w:ind w:firstLine="708"/>
        <w:rPr>
          <w:i w:val="0"/>
        </w:rPr>
      </w:pPr>
      <w:r>
        <w:rPr>
          <w:i w:val="0"/>
        </w:rPr>
        <w:t>W ramach diagnozy obszaru LGD przeprowadzono następujące działania:</w:t>
      </w:r>
    </w:p>
    <w:p w:rsidR="003A3515" w:rsidRDefault="002B35E5" w:rsidP="00A37EE1">
      <w:pPr>
        <w:shd w:val="clear" w:color="auto" w:fill="FFFF00"/>
        <w:spacing w:line="276" w:lineRule="auto"/>
        <w:rPr>
          <w:i w:val="0"/>
        </w:rPr>
      </w:pPr>
      <w:r>
        <w:rPr>
          <w:i w:val="0"/>
        </w:rPr>
        <w:t xml:space="preserve">- poddano analizie dotychczasowe nabory wniosków dotyczących przedsięwzięć związanych z </w:t>
      </w:r>
      <w:r w:rsidR="00DE6B86">
        <w:rPr>
          <w:i w:val="0"/>
        </w:rPr>
        <w:t xml:space="preserve">rozwojem działalności gospodarczej, rekreacyjną lub kulturową infrastrukturą publiczną oraz zachowaniem lokalnego dziedzictwa kulturowego. </w:t>
      </w:r>
      <w:r w:rsidR="00937249">
        <w:rPr>
          <w:i w:val="0"/>
        </w:rPr>
        <w:t>Ważnym czynnikiem</w:t>
      </w:r>
      <w:r w:rsidR="003A3515">
        <w:rPr>
          <w:i w:val="0"/>
        </w:rPr>
        <w:t xml:space="preserve"> do podjęcia decyzji o sposobie wykorzystania dodatkowych środków finansowych były dane z raportu ze spotkania refleksyjnego </w:t>
      </w:r>
      <w:r w:rsidR="00407C8E">
        <w:rPr>
          <w:i w:val="0"/>
        </w:rPr>
        <w:t xml:space="preserve">zebrane </w:t>
      </w:r>
      <w:r w:rsidR="003A3515">
        <w:rPr>
          <w:i w:val="0"/>
        </w:rPr>
        <w:t xml:space="preserve">na podstawie informacji z Instytucji Zarządzającej na temat zawartych umów i zrealizowanych płatności dla beneficjentów. </w:t>
      </w:r>
    </w:p>
    <w:p w:rsidR="00AD6B2F" w:rsidRDefault="003A3515" w:rsidP="00A37EE1">
      <w:pPr>
        <w:shd w:val="clear" w:color="auto" w:fill="FFFF00"/>
        <w:spacing w:line="276" w:lineRule="auto"/>
        <w:rPr>
          <w:i w:val="0"/>
        </w:rPr>
      </w:pPr>
      <w:r>
        <w:rPr>
          <w:i w:val="0"/>
        </w:rPr>
        <w:t xml:space="preserve">- </w:t>
      </w:r>
      <w:r w:rsidR="00407C8E">
        <w:rPr>
          <w:i w:val="0"/>
        </w:rPr>
        <w:t>przeprowadzono wnikliwą analizę ewidencji telefonicznej, mailowej, doradczej w oparciu o zgłaszane zapotrzebowania mieszkańców obszaru LGD</w:t>
      </w:r>
      <w:r w:rsidR="00305DDE">
        <w:rPr>
          <w:i w:val="0"/>
        </w:rPr>
        <w:t>, w szczególności na rozwój działalności gospodarczej.</w:t>
      </w:r>
    </w:p>
    <w:p w:rsidR="00407C8E" w:rsidRDefault="00407C8E" w:rsidP="00A37EE1">
      <w:pPr>
        <w:shd w:val="clear" w:color="auto" w:fill="FFFF00"/>
        <w:spacing w:line="276" w:lineRule="auto"/>
        <w:rPr>
          <w:i w:val="0"/>
        </w:rPr>
      </w:pPr>
    </w:p>
    <w:p w:rsidR="00C434D2" w:rsidRPr="00C434D2" w:rsidRDefault="00305DDE" w:rsidP="00A37EE1">
      <w:pPr>
        <w:shd w:val="clear" w:color="auto" w:fill="FFFF00"/>
        <w:spacing w:line="276" w:lineRule="auto"/>
        <w:rPr>
          <w:i w:val="0"/>
        </w:rPr>
      </w:pPr>
      <w:r>
        <w:rPr>
          <w:i w:val="0"/>
        </w:rPr>
        <w:lastRenderedPageBreak/>
        <w:t>-</w:t>
      </w:r>
      <w:r w:rsidR="00AD6B2F">
        <w:rPr>
          <w:i w:val="0"/>
        </w:rPr>
        <w:t xml:space="preserve"> przy współpracy z urzędami gmin członkowskich</w:t>
      </w:r>
      <w:r w:rsidR="00C434D2" w:rsidRPr="00C434D2">
        <w:rPr>
          <w:i w:val="0"/>
        </w:rPr>
        <w:t xml:space="preserve"> </w:t>
      </w:r>
      <w:r>
        <w:rPr>
          <w:i w:val="0"/>
        </w:rPr>
        <w:t xml:space="preserve">przeprowadzono </w:t>
      </w:r>
      <w:r w:rsidR="00C434D2" w:rsidRPr="00C434D2">
        <w:rPr>
          <w:i w:val="0"/>
        </w:rPr>
        <w:t xml:space="preserve">badanie ankietowe wśród mieszkańców gmin członkowskich. Ankiety zostały udostępnione </w:t>
      </w:r>
      <w:r>
        <w:rPr>
          <w:i w:val="0"/>
        </w:rPr>
        <w:t>w biurze LGD</w:t>
      </w:r>
      <w:r w:rsidR="00C434D2" w:rsidRPr="00C434D2">
        <w:rPr>
          <w:i w:val="0"/>
        </w:rPr>
        <w:t>. W trakcie przeprowadze</w:t>
      </w:r>
      <w:r w:rsidR="00C434D2">
        <w:rPr>
          <w:i w:val="0"/>
        </w:rPr>
        <w:t>n</w:t>
      </w:r>
      <w:r w:rsidR="0082211C">
        <w:rPr>
          <w:i w:val="0"/>
        </w:rPr>
        <w:t>ia diagnozy do biura wpłynęło 26</w:t>
      </w:r>
      <w:r w:rsidR="00C434D2" w:rsidRPr="00C434D2">
        <w:rPr>
          <w:i w:val="0"/>
        </w:rPr>
        <w:t xml:space="preserve"> </w:t>
      </w:r>
      <w:r w:rsidR="00AD6B2F">
        <w:rPr>
          <w:i w:val="0"/>
        </w:rPr>
        <w:t>ankiet.</w:t>
      </w:r>
      <w:r>
        <w:rPr>
          <w:i w:val="0"/>
        </w:rPr>
        <w:t xml:space="preserve"> </w:t>
      </w:r>
      <w:r w:rsidR="00C434D2" w:rsidRPr="00C434D2">
        <w:rPr>
          <w:i w:val="0"/>
        </w:rPr>
        <w:t xml:space="preserve">Z badania ankietowego wynika, iż tylko </w:t>
      </w:r>
      <w:r w:rsidR="00AD6B2F">
        <w:rPr>
          <w:i w:val="0"/>
        </w:rPr>
        <w:t xml:space="preserve">         </w:t>
      </w:r>
      <w:r>
        <w:rPr>
          <w:i w:val="0"/>
        </w:rPr>
        <w:t>1 osoba</w:t>
      </w:r>
      <w:r w:rsidRPr="00C434D2">
        <w:rPr>
          <w:i w:val="0"/>
        </w:rPr>
        <w:t xml:space="preserve"> </w:t>
      </w:r>
      <w:r w:rsidRPr="00115AA8">
        <w:rPr>
          <w:i w:val="0"/>
        </w:rPr>
        <w:t>(</w:t>
      </w:r>
      <w:r w:rsidR="00C434D2" w:rsidRPr="00C434D2">
        <w:rPr>
          <w:i w:val="0"/>
        </w:rPr>
        <w:t>ok</w:t>
      </w:r>
      <w:r w:rsidR="0082211C">
        <w:rPr>
          <w:i w:val="0"/>
        </w:rPr>
        <w:t>. 3,85</w:t>
      </w:r>
      <w:r w:rsidR="00C434D2" w:rsidRPr="00305DDE">
        <w:rPr>
          <w:i w:val="0"/>
        </w:rPr>
        <w:t>%</w:t>
      </w:r>
      <w:r>
        <w:rPr>
          <w:i w:val="0"/>
        </w:rPr>
        <w:t>) była</w:t>
      </w:r>
      <w:r w:rsidR="0082211C">
        <w:rPr>
          <w:i w:val="0"/>
        </w:rPr>
        <w:t xml:space="preserve"> zainteresowana</w:t>
      </w:r>
      <w:r w:rsidR="00C434D2" w:rsidRPr="00C434D2">
        <w:rPr>
          <w:i w:val="0"/>
        </w:rPr>
        <w:t xml:space="preserve"> środkami na powstanie nowej działalności gospodarczej. </w:t>
      </w:r>
      <w:r w:rsidR="0082211C">
        <w:rPr>
          <w:i w:val="0"/>
        </w:rPr>
        <w:t>13</w:t>
      </w:r>
      <w:r w:rsidR="0082211C" w:rsidRPr="00C434D2">
        <w:rPr>
          <w:i w:val="0"/>
        </w:rPr>
        <w:t xml:space="preserve"> osób</w:t>
      </w:r>
      <w:r w:rsidR="0082211C">
        <w:rPr>
          <w:i w:val="0"/>
        </w:rPr>
        <w:t xml:space="preserve"> (ok. 50,00</w:t>
      </w:r>
      <w:r w:rsidR="00115AA8">
        <w:rPr>
          <w:i w:val="0"/>
        </w:rPr>
        <w:t>%</w:t>
      </w:r>
      <w:r w:rsidR="00115AA8" w:rsidRPr="00C434D2">
        <w:rPr>
          <w:i w:val="0"/>
        </w:rPr>
        <w:t>) potwierdziło chęć pozyskania środków na rozwój istniejącej działalności</w:t>
      </w:r>
      <w:r w:rsidR="00115AA8">
        <w:rPr>
          <w:i w:val="0"/>
        </w:rPr>
        <w:t xml:space="preserve">, </w:t>
      </w:r>
      <w:r w:rsidR="00AD6B2F">
        <w:rPr>
          <w:i w:val="0"/>
        </w:rPr>
        <w:t xml:space="preserve">            </w:t>
      </w:r>
      <w:r w:rsidR="0082211C">
        <w:rPr>
          <w:i w:val="0"/>
        </w:rPr>
        <w:t>1 osoba</w:t>
      </w:r>
      <w:r w:rsidR="0082211C" w:rsidRPr="00C434D2">
        <w:rPr>
          <w:i w:val="0"/>
        </w:rPr>
        <w:t xml:space="preserve"> (</w:t>
      </w:r>
      <w:r w:rsidR="0082211C">
        <w:rPr>
          <w:i w:val="0"/>
        </w:rPr>
        <w:t>3,85</w:t>
      </w:r>
      <w:r w:rsidR="00115AA8">
        <w:rPr>
          <w:i w:val="0"/>
        </w:rPr>
        <w:t>%</w:t>
      </w:r>
      <w:r w:rsidR="0082211C">
        <w:rPr>
          <w:i w:val="0"/>
        </w:rPr>
        <w:t>) była</w:t>
      </w:r>
      <w:r w:rsidR="00C434D2" w:rsidRPr="00C434D2">
        <w:rPr>
          <w:i w:val="0"/>
        </w:rPr>
        <w:t xml:space="preserve"> zainter</w:t>
      </w:r>
      <w:r w:rsidR="0082211C">
        <w:rPr>
          <w:i w:val="0"/>
        </w:rPr>
        <w:t>esowana</w:t>
      </w:r>
      <w:r w:rsidR="00C434D2" w:rsidRPr="00C434D2">
        <w:rPr>
          <w:i w:val="0"/>
        </w:rPr>
        <w:t xml:space="preserve"> środkami na </w:t>
      </w:r>
      <w:r w:rsidR="00115AA8">
        <w:rPr>
          <w:i w:val="0"/>
        </w:rPr>
        <w:t xml:space="preserve">zachowanie lokalnego dziedzictwa, a </w:t>
      </w:r>
      <w:r w:rsidR="0082211C">
        <w:rPr>
          <w:i w:val="0"/>
        </w:rPr>
        <w:t>11 osób (42,31</w:t>
      </w:r>
      <w:r w:rsidR="00115AA8">
        <w:rPr>
          <w:i w:val="0"/>
        </w:rPr>
        <w:t>%) są zwolennikami inwestycji w publiczna infrastru</w:t>
      </w:r>
      <w:r w:rsidR="00AD6B2F">
        <w:rPr>
          <w:i w:val="0"/>
        </w:rPr>
        <w:t>kturę rekreacyjną lub kulturową</w:t>
      </w:r>
      <w:r w:rsidR="00C434D2" w:rsidRPr="00C434D2">
        <w:rPr>
          <w:i w:val="0"/>
        </w:rPr>
        <w:t>. Wśród badanych - zainteresowanych</w:t>
      </w:r>
      <w:r w:rsidR="002A2234">
        <w:rPr>
          <w:i w:val="0"/>
        </w:rPr>
        <w:t xml:space="preserve"> dofinansowaniem nie było</w:t>
      </w:r>
      <w:r w:rsidR="00C434D2" w:rsidRPr="00C434D2">
        <w:rPr>
          <w:i w:val="0"/>
        </w:rPr>
        <w:t xml:space="preserve"> przedstawicieli grup defaworyzowanych (kobiety, bezrobotni). Badania wykazały wśród zainteresowanych dofinansowaniem </w:t>
      </w:r>
      <w:r w:rsidR="0021346C">
        <w:rPr>
          <w:i w:val="0"/>
        </w:rPr>
        <w:t xml:space="preserve">dla firm </w:t>
      </w:r>
      <w:r w:rsidR="00C434D2" w:rsidRPr="00C434D2">
        <w:rPr>
          <w:i w:val="0"/>
        </w:rPr>
        <w:t>chęć utworzenia maksymaln</w:t>
      </w:r>
      <w:r w:rsidR="0021346C">
        <w:rPr>
          <w:i w:val="0"/>
        </w:rPr>
        <w:t>ie 1-go nowego miejsca pracy (13</w:t>
      </w:r>
      <w:r w:rsidR="00C434D2" w:rsidRPr="00C434D2">
        <w:rPr>
          <w:i w:val="0"/>
        </w:rPr>
        <w:t xml:space="preserve"> osób</w:t>
      </w:r>
      <w:r w:rsidR="0021346C">
        <w:rPr>
          <w:i w:val="0"/>
        </w:rPr>
        <w:t>) lub tylko samozatrudnienia (</w:t>
      </w:r>
      <w:r w:rsidR="00115AA8">
        <w:rPr>
          <w:i w:val="0"/>
        </w:rPr>
        <w:t>1</w:t>
      </w:r>
      <w:r w:rsidR="0021346C">
        <w:rPr>
          <w:i w:val="0"/>
        </w:rPr>
        <w:t xml:space="preserve"> osoba). Oso</w:t>
      </w:r>
      <w:r w:rsidR="00C434D2" w:rsidRPr="00C434D2">
        <w:rPr>
          <w:i w:val="0"/>
        </w:rPr>
        <w:t>b</w:t>
      </w:r>
      <w:r w:rsidR="0021346C">
        <w:rPr>
          <w:i w:val="0"/>
        </w:rPr>
        <w:t>a zainteresowana</w:t>
      </w:r>
      <w:r w:rsidR="00C434D2" w:rsidRPr="00C434D2">
        <w:rPr>
          <w:i w:val="0"/>
        </w:rPr>
        <w:t xml:space="preserve"> podjęci</w:t>
      </w:r>
      <w:r w:rsidR="0021346C">
        <w:rPr>
          <w:i w:val="0"/>
        </w:rPr>
        <w:t>em  działalności gospodarczej</w:t>
      </w:r>
      <w:r w:rsidR="00C434D2" w:rsidRPr="00C434D2">
        <w:rPr>
          <w:i w:val="0"/>
        </w:rPr>
        <w:t xml:space="preserve"> nie zaznaczyła opcji, iż będzie to działalność w jednej z branż kluczowych lub produkcyjnej. Wśród zainteresowanych </w:t>
      </w:r>
      <w:r w:rsidR="00114A2A">
        <w:rPr>
          <w:i w:val="0"/>
        </w:rPr>
        <w:t xml:space="preserve">rozwojem firmy </w:t>
      </w:r>
      <w:r w:rsidR="0021346C">
        <w:rPr>
          <w:i w:val="0"/>
        </w:rPr>
        <w:t>2 osoby (15,38</w:t>
      </w:r>
      <w:r w:rsidR="00114A2A">
        <w:rPr>
          <w:i w:val="0"/>
        </w:rPr>
        <w:t>%</w:t>
      </w:r>
      <w:r w:rsidR="0021346C">
        <w:rPr>
          <w:i w:val="0"/>
        </w:rPr>
        <w:t>) reprezentowały</w:t>
      </w:r>
      <w:r w:rsidR="00C434D2" w:rsidRPr="00C434D2">
        <w:rPr>
          <w:i w:val="0"/>
        </w:rPr>
        <w:t xml:space="preserve"> bran</w:t>
      </w:r>
      <w:r w:rsidR="00114A2A">
        <w:rPr>
          <w:i w:val="0"/>
        </w:rPr>
        <w:t xml:space="preserve">że kluczowe lub produkcję przy </w:t>
      </w:r>
      <w:r w:rsidR="0021346C">
        <w:rPr>
          <w:i w:val="0"/>
        </w:rPr>
        <w:t>11 osobach (84,62</w:t>
      </w:r>
      <w:r w:rsidR="00114A2A">
        <w:rPr>
          <w:i w:val="0"/>
        </w:rPr>
        <w:t>%</w:t>
      </w:r>
      <w:r w:rsidR="00C434D2" w:rsidRPr="00C434D2">
        <w:rPr>
          <w:i w:val="0"/>
        </w:rPr>
        <w:t>) inny rodzaj działalności (naprawa samochodów oraz usługi ślusarskie</w:t>
      </w:r>
      <w:r w:rsidR="00114A2A">
        <w:rPr>
          <w:i w:val="0"/>
        </w:rPr>
        <w:t>, kosmetyczne, fryzjerskie, a także ubezpieczenia  i IT</w:t>
      </w:r>
      <w:r w:rsidR="0021346C">
        <w:rPr>
          <w:i w:val="0"/>
        </w:rPr>
        <w:t>.</w:t>
      </w:r>
    </w:p>
    <w:p w:rsidR="00E96631" w:rsidRDefault="0021346C" w:rsidP="00A37EE1">
      <w:pPr>
        <w:shd w:val="clear" w:color="auto" w:fill="FFFF00"/>
        <w:spacing w:line="276" w:lineRule="auto"/>
        <w:ind w:firstLine="708"/>
        <w:rPr>
          <w:i w:val="0"/>
        </w:rPr>
      </w:pPr>
      <w:r>
        <w:rPr>
          <w:i w:val="0"/>
        </w:rPr>
        <w:t>Powyższe działania  pokazały</w:t>
      </w:r>
      <w:r w:rsidR="00C434D2" w:rsidRPr="00C434D2">
        <w:rPr>
          <w:i w:val="0"/>
        </w:rPr>
        <w:t>, iż najodpowiedniejsze dla lokalnej społeczności będzie zabezpieczenie środków finansowych</w:t>
      </w:r>
      <w:r>
        <w:rPr>
          <w:i w:val="0"/>
        </w:rPr>
        <w:t xml:space="preserve"> na przedsięwzięcia</w:t>
      </w:r>
      <w:r w:rsidR="00C434D2" w:rsidRPr="00C434D2">
        <w:rPr>
          <w:i w:val="0"/>
        </w:rPr>
        <w:t xml:space="preserve"> nr </w:t>
      </w:r>
      <w:r>
        <w:rPr>
          <w:i w:val="0"/>
        </w:rPr>
        <w:t xml:space="preserve">1.1.1 Niekomercyjna i </w:t>
      </w:r>
      <w:r w:rsidR="00AD6B2F">
        <w:rPr>
          <w:i w:val="0"/>
        </w:rPr>
        <w:t>ogólnodostępna</w:t>
      </w:r>
      <w:r>
        <w:rPr>
          <w:i w:val="0"/>
        </w:rPr>
        <w:t xml:space="preserve"> infrastruktura rekreacyjna i/lub kulturowa oraz </w:t>
      </w:r>
      <w:r w:rsidR="00C434D2" w:rsidRPr="00C434D2">
        <w:rPr>
          <w:i w:val="0"/>
        </w:rPr>
        <w:t>1.2.</w:t>
      </w:r>
      <w:r>
        <w:rPr>
          <w:i w:val="0"/>
        </w:rPr>
        <w:t>2</w:t>
      </w:r>
      <w:r w:rsidR="00C434D2" w:rsidRPr="00C434D2">
        <w:rPr>
          <w:i w:val="0"/>
        </w:rPr>
        <w:t xml:space="preserve"> Rozwój </w:t>
      </w:r>
      <w:r>
        <w:rPr>
          <w:i w:val="0"/>
        </w:rPr>
        <w:t xml:space="preserve">innej działalności gospodarczej. </w:t>
      </w:r>
      <w:r w:rsidR="007C47EE">
        <w:rPr>
          <w:i w:val="0"/>
        </w:rPr>
        <w:t xml:space="preserve">Wyniki </w:t>
      </w:r>
      <w:r w:rsidR="00E96631">
        <w:rPr>
          <w:i w:val="0"/>
        </w:rPr>
        <w:t xml:space="preserve">opisanych powyżej </w:t>
      </w:r>
      <w:r w:rsidR="007C47EE">
        <w:rPr>
          <w:i w:val="0"/>
        </w:rPr>
        <w:t xml:space="preserve">konsultacji </w:t>
      </w:r>
      <w:r w:rsidR="00E96631">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Pr>
          <w:i w:val="0"/>
        </w:rPr>
        <w:t xml:space="preserve">Zarząd LGD „Nad Czarną i Pilicą” </w:t>
      </w:r>
      <w:r w:rsidR="00E96631">
        <w:rPr>
          <w:i w:val="0"/>
        </w:rPr>
        <w:t xml:space="preserve"> </w:t>
      </w:r>
      <w:r w:rsidR="003B5871">
        <w:rPr>
          <w:i w:val="0"/>
        </w:rPr>
        <w:t>postanowił zmienić wymóg utworzenia 2</w:t>
      </w:r>
      <w:r w:rsidR="00E96631" w:rsidRPr="00E96631">
        <w:rPr>
          <w:i w:val="0"/>
        </w:rPr>
        <w:t xml:space="preserve"> miejsc pracy </w:t>
      </w:r>
      <w:r w:rsidR="003B5871">
        <w:rPr>
          <w:i w:val="0"/>
        </w:rPr>
        <w:t>na</w:t>
      </w:r>
      <w:r w:rsidR="00E96631">
        <w:rPr>
          <w:i w:val="0"/>
        </w:rPr>
        <w:t xml:space="preserve"> 1</w:t>
      </w:r>
      <w:r w:rsidR="0067749C">
        <w:rPr>
          <w:i w:val="0"/>
        </w:rPr>
        <w:t>miejsce pracy</w:t>
      </w:r>
      <w:r w:rsidR="003B5871">
        <w:rPr>
          <w:i w:val="0"/>
        </w:rPr>
        <w:t xml:space="preserve"> w ramach Przedsięwzięcia 1.2.2</w:t>
      </w:r>
      <w:r w:rsidR="005731D5">
        <w:rPr>
          <w:i w:val="0"/>
        </w:rPr>
        <w:t>.</w:t>
      </w:r>
    </w:p>
    <w:p w:rsidR="00137E2F" w:rsidRDefault="005731D5" w:rsidP="00A37EE1">
      <w:pPr>
        <w:shd w:val="clear" w:color="auto" w:fill="FFFF00"/>
        <w:spacing w:line="276" w:lineRule="auto"/>
        <w:rPr>
          <w:i w:val="0"/>
        </w:rPr>
      </w:pPr>
      <w:r>
        <w:rPr>
          <w:i w:val="0"/>
        </w:rPr>
        <w:t xml:space="preserve">Zarząd LGD zdecydował przeznaczyć dodatkowe środki finansowe </w:t>
      </w:r>
      <w:r w:rsidR="00E96631">
        <w:rPr>
          <w:i w:val="0"/>
        </w:rPr>
        <w:t>w kwocie 520 000,0 zł</w:t>
      </w:r>
      <w:r>
        <w:rPr>
          <w:i w:val="0"/>
        </w:rPr>
        <w:t xml:space="preserve"> na:</w:t>
      </w:r>
    </w:p>
    <w:p w:rsidR="00EF555D" w:rsidRDefault="00137E2F" w:rsidP="00A37EE1">
      <w:pPr>
        <w:shd w:val="clear" w:color="auto" w:fill="FFFF00"/>
        <w:spacing w:line="276" w:lineRule="auto"/>
        <w:rPr>
          <w:i w:val="0"/>
        </w:rPr>
      </w:pPr>
      <w:r>
        <w:rPr>
          <w:i w:val="0"/>
        </w:rPr>
        <w:t xml:space="preserve">- Przedsięwzięcie </w:t>
      </w:r>
      <w:r w:rsidRPr="00137E2F">
        <w:rPr>
          <w:i w:val="0"/>
        </w:rPr>
        <w:t>nr 1.1.1 Niekomercyjna i ogólnodostępna infrastruktura rekreacyjna i/lu</w:t>
      </w:r>
      <w:r w:rsidR="00EF555D">
        <w:rPr>
          <w:i w:val="0"/>
        </w:rPr>
        <w:t>b</w:t>
      </w:r>
    </w:p>
    <w:p w:rsidR="00DD6F83" w:rsidRDefault="00EF555D" w:rsidP="00A37EE1">
      <w:pPr>
        <w:shd w:val="clear" w:color="auto" w:fill="FFFF00"/>
        <w:spacing w:line="276" w:lineRule="auto"/>
        <w:rPr>
          <w:i w:val="0"/>
        </w:rPr>
      </w:pPr>
      <w:r>
        <w:rPr>
          <w:i w:val="0"/>
        </w:rPr>
        <w:t xml:space="preserve">  </w:t>
      </w:r>
      <w:r w:rsidR="00137E2F">
        <w:rPr>
          <w:i w:val="0"/>
        </w:rPr>
        <w:t>k</w:t>
      </w:r>
      <w:r w:rsidR="00137E2F" w:rsidRPr="00137E2F">
        <w:rPr>
          <w:i w:val="0"/>
        </w:rPr>
        <w:t>ulturowa</w:t>
      </w:r>
      <w:r w:rsidR="00137E2F">
        <w:rPr>
          <w:i w:val="0"/>
        </w:rPr>
        <w:t xml:space="preserve"> określając limit środków  na nabór w kwocie 260 000,00 zł, </w:t>
      </w:r>
      <w:r>
        <w:rPr>
          <w:i w:val="0"/>
        </w:rPr>
        <w:t xml:space="preserve"> </w:t>
      </w:r>
      <w:r w:rsidR="00137E2F">
        <w:rPr>
          <w:i w:val="0"/>
        </w:rPr>
        <w:t>wskaź</w:t>
      </w:r>
      <w:r w:rsidR="00DD6F83">
        <w:rPr>
          <w:i w:val="0"/>
        </w:rPr>
        <w:t>nik</w:t>
      </w:r>
      <w:r>
        <w:rPr>
          <w:i w:val="0"/>
        </w:rPr>
        <w:t xml:space="preserve"> </w:t>
      </w:r>
      <w:r w:rsidR="00137E2F">
        <w:rPr>
          <w:i w:val="0"/>
        </w:rPr>
        <w:t xml:space="preserve">produktu </w:t>
      </w:r>
      <w:r w:rsidR="00DD6F83">
        <w:rPr>
          <w:i w:val="0"/>
        </w:rPr>
        <w:t>na</w:t>
      </w:r>
    </w:p>
    <w:p w:rsidR="00EF555D" w:rsidRDefault="00DD6F83" w:rsidP="00A37EE1">
      <w:pPr>
        <w:shd w:val="clear" w:color="auto" w:fill="FFFF00"/>
        <w:spacing w:line="276" w:lineRule="auto"/>
        <w:rPr>
          <w:i w:val="0"/>
        </w:rPr>
      </w:pPr>
      <w:r>
        <w:rPr>
          <w:i w:val="0"/>
        </w:rPr>
        <w:t xml:space="preserve">  konkurs - </w:t>
      </w:r>
      <w:r w:rsidR="00137E2F">
        <w:rPr>
          <w:i w:val="0"/>
        </w:rPr>
        <w:t>liczba nowych lub zmodernizowanych obiektó</w:t>
      </w:r>
      <w:r w:rsidR="00EF555D">
        <w:rPr>
          <w:i w:val="0"/>
        </w:rPr>
        <w:t>w infrastruktury rekreacyjnej i/lub</w:t>
      </w:r>
    </w:p>
    <w:p w:rsidR="002A2234" w:rsidRDefault="00EF555D" w:rsidP="00A37EE1">
      <w:pPr>
        <w:shd w:val="clear" w:color="auto" w:fill="FFFF00"/>
        <w:spacing w:line="276" w:lineRule="auto"/>
        <w:rPr>
          <w:i w:val="0"/>
        </w:rPr>
      </w:pPr>
      <w:r>
        <w:rPr>
          <w:i w:val="0"/>
        </w:rPr>
        <w:t xml:space="preserve">  kulturowej</w:t>
      </w:r>
      <w:r w:rsidR="00DD6F83">
        <w:rPr>
          <w:i w:val="0"/>
        </w:rPr>
        <w:t xml:space="preserve"> - </w:t>
      </w:r>
      <w:r w:rsidR="008F529C">
        <w:rPr>
          <w:i w:val="0"/>
        </w:rPr>
        <w:t>2</w:t>
      </w:r>
      <w:r w:rsidR="00DD6F83">
        <w:rPr>
          <w:i w:val="0"/>
        </w:rPr>
        <w:t xml:space="preserve">, wskaźnik rezultatu </w:t>
      </w:r>
      <w:r w:rsidR="002A2234">
        <w:rPr>
          <w:i w:val="0"/>
        </w:rPr>
        <w:t xml:space="preserve">na konkurs </w:t>
      </w:r>
      <w:r w:rsidR="00394DE2">
        <w:rPr>
          <w:i w:val="0"/>
        </w:rPr>
        <w:t xml:space="preserve">– liczba osób korzystających z nowopowstałej </w:t>
      </w:r>
    </w:p>
    <w:p w:rsidR="00137E2F" w:rsidRDefault="002A2234" w:rsidP="00A37EE1">
      <w:pPr>
        <w:shd w:val="clear" w:color="auto" w:fill="FFFF00"/>
        <w:spacing w:line="276" w:lineRule="auto"/>
        <w:rPr>
          <w:i w:val="0"/>
        </w:rPr>
      </w:pPr>
      <w:r>
        <w:rPr>
          <w:i w:val="0"/>
        </w:rPr>
        <w:t xml:space="preserve">  </w:t>
      </w:r>
      <w:r w:rsidR="00394DE2">
        <w:rPr>
          <w:i w:val="0"/>
        </w:rPr>
        <w:t>infrastruktury</w:t>
      </w:r>
      <w:r>
        <w:rPr>
          <w:i w:val="0"/>
        </w:rPr>
        <w:t xml:space="preserve"> </w:t>
      </w:r>
      <w:r w:rsidR="00394DE2">
        <w:rPr>
          <w:i w:val="0"/>
        </w:rPr>
        <w:t>rekreacyjnej i/lub kulturowej –</w:t>
      </w:r>
      <w:r>
        <w:rPr>
          <w:i w:val="0"/>
        </w:rPr>
        <w:t xml:space="preserve"> 2</w:t>
      </w:r>
      <w:r w:rsidR="00394DE2">
        <w:rPr>
          <w:i w:val="0"/>
        </w:rPr>
        <w:t>000</w:t>
      </w:r>
    </w:p>
    <w:p w:rsidR="00394DE2" w:rsidRDefault="00394DE2" w:rsidP="00A37EE1">
      <w:pPr>
        <w:shd w:val="clear" w:color="auto" w:fill="FFFF00"/>
        <w:spacing w:line="276" w:lineRule="auto"/>
        <w:rPr>
          <w:i w:val="0"/>
        </w:rPr>
      </w:pPr>
      <w:r>
        <w:rPr>
          <w:i w:val="0"/>
        </w:rPr>
        <w:t>- Przedsięwzięcie nr 1.2.2</w:t>
      </w:r>
      <w:r w:rsidRPr="00394DE2">
        <w:rPr>
          <w:i w:val="0"/>
        </w:rPr>
        <w:t xml:space="preserve"> </w:t>
      </w:r>
      <w:r>
        <w:rPr>
          <w:i w:val="0"/>
        </w:rPr>
        <w:t>Rozwój innej działalności gospodarczej</w:t>
      </w:r>
      <w:r w:rsidRPr="00394DE2">
        <w:rPr>
          <w:i w:val="0"/>
        </w:rPr>
        <w:t xml:space="preserve"> określając limit środków  na nabór</w:t>
      </w:r>
    </w:p>
    <w:p w:rsidR="00C8283F" w:rsidRDefault="00394DE2" w:rsidP="00A37EE1">
      <w:pPr>
        <w:shd w:val="clear" w:color="auto" w:fill="FFFF00"/>
        <w:spacing w:line="276" w:lineRule="auto"/>
        <w:rPr>
          <w:i w:val="0"/>
        </w:rPr>
      </w:pPr>
      <w:r>
        <w:rPr>
          <w:i w:val="0"/>
        </w:rPr>
        <w:t xml:space="preserve"> </w:t>
      </w:r>
      <w:r w:rsidRPr="00394DE2">
        <w:rPr>
          <w:i w:val="0"/>
        </w:rPr>
        <w:t xml:space="preserve"> w kwocie 260 000,00 zł,  wskaźnik produktu na  konkurs </w:t>
      </w:r>
      <w:r>
        <w:rPr>
          <w:i w:val="0"/>
        </w:rPr>
        <w:t>–</w:t>
      </w:r>
      <w:r w:rsidRPr="00394DE2">
        <w:rPr>
          <w:i w:val="0"/>
        </w:rPr>
        <w:t xml:space="preserve"> </w:t>
      </w:r>
      <w:r>
        <w:rPr>
          <w:i w:val="0"/>
        </w:rPr>
        <w:t>liczba operacji polegających na rozwoju</w:t>
      </w:r>
    </w:p>
    <w:p w:rsidR="00394DE2" w:rsidRPr="00394DE2" w:rsidRDefault="00C8283F" w:rsidP="00A37EE1">
      <w:pPr>
        <w:shd w:val="clear" w:color="auto" w:fill="FFFF00"/>
        <w:spacing w:line="276" w:lineRule="auto"/>
        <w:rPr>
          <w:i w:val="0"/>
        </w:rPr>
      </w:pPr>
      <w:r>
        <w:rPr>
          <w:i w:val="0"/>
        </w:rPr>
        <w:t xml:space="preserve"> </w:t>
      </w:r>
      <w:r w:rsidR="00394DE2">
        <w:rPr>
          <w:i w:val="0"/>
        </w:rPr>
        <w:t xml:space="preserve"> </w:t>
      </w:r>
      <w:r>
        <w:rPr>
          <w:i w:val="0"/>
        </w:rPr>
        <w:t>istniejącego przedsiębiorstwa</w:t>
      </w:r>
      <w:r w:rsidR="00394DE2" w:rsidRPr="00394DE2">
        <w:rPr>
          <w:i w:val="0"/>
        </w:rPr>
        <w:t xml:space="preserve"> - 1, wskaźnik rezultatu – </w:t>
      </w:r>
      <w:r>
        <w:rPr>
          <w:i w:val="0"/>
        </w:rPr>
        <w:t xml:space="preserve">liczba utworzonych miejsc pracy </w:t>
      </w:r>
      <w:r w:rsidR="002A2234">
        <w:rPr>
          <w:i w:val="0"/>
        </w:rPr>
        <w:t>–</w:t>
      </w:r>
      <w:r>
        <w:rPr>
          <w:i w:val="0"/>
        </w:rPr>
        <w:t xml:space="preserve"> 1</w:t>
      </w:r>
      <w:r w:rsidR="002A2234">
        <w:rPr>
          <w:i w:val="0"/>
        </w:rPr>
        <w:t xml:space="preserve">.  </w:t>
      </w:r>
    </w:p>
    <w:p w:rsidR="00B53E61" w:rsidRDefault="00137E2F" w:rsidP="0021346C">
      <w:pPr>
        <w:spacing w:line="276" w:lineRule="auto"/>
        <w:ind w:firstLine="708"/>
        <w:rPr>
          <w:rFonts w:asciiTheme="majorHAnsi" w:eastAsiaTheme="majorEastAsia" w:hAnsiTheme="majorHAnsi" w:cstheme="majorBidi"/>
          <w:b/>
          <w:bCs/>
          <w:i w:val="0"/>
          <w:sz w:val="28"/>
        </w:rPr>
      </w:pPr>
      <w:r>
        <w:rPr>
          <w:i w:val="0"/>
        </w:rPr>
        <w:t xml:space="preserve">   </w:t>
      </w:r>
      <w:r w:rsidR="00AD6B2F" w:rsidRPr="00137E2F">
        <w:rPr>
          <w:i w:val="0"/>
        </w:rPr>
        <w:t xml:space="preserve"> </w:t>
      </w:r>
      <w:r w:rsidR="00AD6B2F">
        <w:rPr>
          <w:i w:val="0"/>
        </w:rPr>
        <w:t xml:space="preserve">  </w:t>
      </w:r>
      <w:r w:rsidR="00B53E61">
        <w:br w:type="page"/>
      </w:r>
    </w:p>
    <w:p w:rsidR="00444F48" w:rsidRPr="00AC22F0" w:rsidRDefault="00444F48" w:rsidP="00AD6B2F">
      <w:pPr>
        <w:pStyle w:val="Nagwek1"/>
      </w:pPr>
      <w:bookmarkStart w:id="44" w:name="_Toc438759781"/>
      <w:r w:rsidRPr="00AC22F0">
        <w:lastRenderedPageBreak/>
        <w:t>ROZDZIAŁ IV Analiza SWOT</w:t>
      </w:r>
      <w:bookmarkEnd w:id="44"/>
    </w:p>
    <w:p w:rsidR="00A4324C" w:rsidRPr="00A4324C" w:rsidRDefault="00A4324C" w:rsidP="005B702E">
      <w:pPr>
        <w:pStyle w:val="Legenda"/>
      </w:pPr>
      <w:bookmarkStart w:id="45"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283C99">
        <w:t>11</w:t>
      </w:r>
      <w:r w:rsidR="003A5AF6" w:rsidRPr="00A4324C">
        <w:fldChar w:fldCharType="end"/>
      </w:r>
      <w:r w:rsidRPr="00A4324C">
        <w:t>Analiza SWOT obszaru LGD „Nad Czarną i Pilicą”</w:t>
      </w:r>
      <w:bookmarkEnd w:id="45"/>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AD6B2F">
      <w:pPr>
        <w:pStyle w:val="Nagwek1"/>
      </w:pPr>
      <w:bookmarkStart w:id="46" w:name="_Toc438759782"/>
      <w:r w:rsidRPr="00FF4931">
        <w:lastRenderedPageBreak/>
        <w:t>ROZDZIAŁ V Cele i wskaźniki</w:t>
      </w:r>
      <w:bookmarkEnd w:id="46"/>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7" w:name="_Toc436055392"/>
      <w:bookmarkStart w:id="48"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283C9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7"/>
      <w:bookmarkEnd w:id="48"/>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36D4371F" wp14:editId="06536520">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84B06" w:rsidRDefault="00684B06" w:rsidP="007D4E04">
                            <w:pPr>
                              <w:spacing w:line="276" w:lineRule="auto"/>
                              <w:jc w:val="center"/>
                              <w:rPr>
                                <w:b/>
                                <w:i w:val="0"/>
                              </w:rPr>
                            </w:pPr>
                            <w:r>
                              <w:rPr>
                                <w:b/>
                              </w:rPr>
                              <w:t>CEL OGÓLNY</w:t>
                            </w:r>
                          </w:p>
                          <w:p w:rsidR="00684B06" w:rsidRPr="00570C0A" w:rsidRDefault="00684B06"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4371F"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684B06" w:rsidRDefault="00684B06" w:rsidP="007D4E04">
                      <w:pPr>
                        <w:spacing w:line="276" w:lineRule="auto"/>
                        <w:jc w:val="center"/>
                        <w:rPr>
                          <w:b/>
                          <w:i w:val="0"/>
                        </w:rPr>
                      </w:pPr>
                      <w:r>
                        <w:rPr>
                          <w:b/>
                        </w:rPr>
                        <w:t>CEL OGÓLNY</w:t>
                      </w:r>
                    </w:p>
                    <w:p w:rsidR="00684B06" w:rsidRPr="00570C0A" w:rsidRDefault="00684B06"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485B2D54" wp14:editId="6CE6CBE6">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6D293555" wp14:editId="60EFE49B">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6E21E958" wp14:editId="2601C969">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84B06" w:rsidRDefault="00684B06" w:rsidP="007D4E04">
                            <w:pPr>
                              <w:spacing w:line="240" w:lineRule="auto"/>
                              <w:jc w:val="center"/>
                              <w:rPr>
                                <w:b/>
                                <w:i w:val="0"/>
                              </w:rPr>
                            </w:pPr>
                            <w:r>
                              <w:rPr>
                                <w:b/>
                              </w:rPr>
                              <w:t>CEL SZCZEGÓŁOWY 1.2</w:t>
                            </w:r>
                          </w:p>
                          <w:p w:rsidR="00684B06" w:rsidRPr="00570C0A" w:rsidRDefault="00684B06"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1E958"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684B06" w:rsidRDefault="00684B06" w:rsidP="007D4E04">
                      <w:pPr>
                        <w:spacing w:line="240" w:lineRule="auto"/>
                        <w:jc w:val="center"/>
                        <w:rPr>
                          <w:b/>
                          <w:i w:val="0"/>
                        </w:rPr>
                      </w:pPr>
                      <w:r>
                        <w:rPr>
                          <w:b/>
                        </w:rPr>
                        <w:t>CEL SZCZEGÓŁOWY 1.2</w:t>
                      </w:r>
                    </w:p>
                    <w:p w:rsidR="00684B06" w:rsidRPr="00570C0A" w:rsidRDefault="00684B06"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2D987F1D" wp14:editId="4E513754">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84B06" w:rsidRDefault="00684B06" w:rsidP="007D4E04">
                            <w:pPr>
                              <w:spacing w:line="240" w:lineRule="auto"/>
                              <w:jc w:val="center"/>
                              <w:rPr>
                                <w:b/>
                                <w:i w:val="0"/>
                              </w:rPr>
                            </w:pPr>
                            <w:r>
                              <w:rPr>
                                <w:b/>
                              </w:rPr>
                              <w:t>CEL SZCZEGÓŁOWY 1.1</w:t>
                            </w:r>
                          </w:p>
                          <w:p w:rsidR="00684B06" w:rsidRPr="00570C0A" w:rsidRDefault="00684B06"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87F1D"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684B06" w:rsidRDefault="00684B06" w:rsidP="007D4E04">
                      <w:pPr>
                        <w:spacing w:line="240" w:lineRule="auto"/>
                        <w:jc w:val="center"/>
                        <w:rPr>
                          <w:b/>
                          <w:i w:val="0"/>
                        </w:rPr>
                      </w:pPr>
                      <w:r>
                        <w:rPr>
                          <w:b/>
                        </w:rPr>
                        <w:t>CEL SZCZEGÓŁOWY 1.1</w:t>
                      </w:r>
                    </w:p>
                    <w:p w:rsidR="00684B06" w:rsidRPr="00570C0A" w:rsidRDefault="00684B06"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9" w:name="_Toc436055413"/>
      <w:bookmarkStart w:id="50"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283C9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9"/>
      <w:bookmarkEnd w:id="50"/>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1" w:name="_Toc436055414"/>
    </w:p>
    <w:p w:rsidR="00606E2B" w:rsidRPr="00606E2B" w:rsidRDefault="00606E2B" w:rsidP="00B15765">
      <w:pPr>
        <w:spacing w:line="240" w:lineRule="auto"/>
        <w:jc w:val="center"/>
        <w:rPr>
          <w:rFonts w:eastAsia="Calibri"/>
          <w:b/>
          <w:bCs/>
          <w:i w:val="0"/>
          <w:sz w:val="22"/>
          <w:szCs w:val="22"/>
        </w:rPr>
      </w:pPr>
      <w:bookmarkStart w:id="52"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283C9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1"/>
      <w:bookmarkEnd w:id="52"/>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B51A27"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3</w:t>
            </w:r>
            <w:r w:rsidR="00243B1F">
              <w:rPr>
                <w:rFonts w:asciiTheme="minorHAnsi" w:eastAsia="Times New Roman" w:hAnsiTheme="minorHAnsi" w:cstheme="minorHAnsi"/>
                <w:i w:val="0"/>
                <w:sz w:val="22"/>
                <w:szCs w:val="22"/>
              </w:rPr>
              <w:t>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FA0A80">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FFFF00"/>
            <w:vAlign w:val="center"/>
          </w:tcPr>
          <w:p w:rsidR="00130D63" w:rsidRPr="00FA0A80" w:rsidRDefault="00D776F8" w:rsidP="005F24C5">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23</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F63CF5">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FFFF00"/>
            <w:vAlign w:val="center"/>
          </w:tcPr>
          <w:p w:rsidR="00275B02" w:rsidRPr="00606E2B" w:rsidRDefault="00A50683"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12</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D776F8">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EE3ED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 </w:t>
            </w:r>
            <w:r w:rsidRPr="00EE3ED4">
              <w:rPr>
                <w:rFonts w:asciiTheme="minorHAnsi" w:eastAsia="Times New Roman" w:hAnsiTheme="minorHAnsi" w:cstheme="minorHAnsi"/>
                <w:i w:val="0"/>
                <w:color w:val="000000"/>
                <w:sz w:val="22"/>
                <w:szCs w:val="22"/>
                <w:highlight w:val="yellow"/>
              </w:rPr>
              <w:t>5</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5D21DD">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FFFFFF" w:themeFill="background1"/>
            <w:vAlign w:val="center"/>
            <w:hideMark/>
          </w:tcPr>
          <w:p w:rsidR="00275B02" w:rsidRPr="00606E2B" w:rsidRDefault="00EE3ED4" w:rsidP="00560AB9">
            <w:pPr>
              <w:spacing w:line="240" w:lineRule="auto"/>
              <w:jc w:val="center"/>
              <w:rPr>
                <w:rFonts w:asciiTheme="minorHAnsi" w:eastAsia="Times New Roman" w:hAnsiTheme="minorHAnsi" w:cstheme="minorHAnsi"/>
                <w:i w:val="0"/>
                <w:sz w:val="22"/>
                <w:szCs w:val="22"/>
              </w:rPr>
            </w:pPr>
            <w:r w:rsidRPr="001D2FDE">
              <w:rPr>
                <w:rFonts w:asciiTheme="minorHAnsi" w:eastAsia="Times New Roman" w:hAnsiTheme="minorHAnsi" w:cstheme="minorHAnsi"/>
                <w:i w:val="0"/>
                <w:sz w:val="22"/>
                <w:szCs w:val="22"/>
                <w:highlight w:val="yellow"/>
              </w:rPr>
              <w:t>6 087</w:t>
            </w:r>
            <w:r w:rsidR="005D21DD" w:rsidRPr="001D2FDE">
              <w:rPr>
                <w:rFonts w:asciiTheme="minorHAnsi" w:eastAsia="Times New Roman" w:hAnsiTheme="minorHAnsi" w:cstheme="minorHAnsi"/>
                <w:i w:val="0"/>
                <w:sz w:val="22"/>
                <w:szCs w:val="22"/>
                <w:highlight w:val="yellow"/>
              </w:rPr>
              <w:t xml:space="preserve"> 500</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3" w:name="_Toc436055415"/>
      <w:bookmarkStart w:id="54"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283C9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3"/>
      <w:bookmarkEnd w:id="54"/>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6E721D">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FFFF00"/>
            <w:vAlign w:val="center"/>
          </w:tcPr>
          <w:p w:rsidR="00606E2B" w:rsidRPr="003E6566" w:rsidRDefault="006E721D" w:rsidP="00E12678">
            <w:pPr>
              <w:jc w:val="right"/>
              <w:rPr>
                <w:rFonts w:asciiTheme="minorHAnsi" w:eastAsia="Calibri" w:hAnsiTheme="minorHAnsi" w:cstheme="minorHAnsi"/>
                <w:i w:val="0"/>
              </w:rPr>
            </w:pPr>
            <w:r>
              <w:rPr>
                <w:rFonts w:asciiTheme="minorHAnsi" w:eastAsia="Calibri" w:hAnsiTheme="minorHAnsi" w:cstheme="minorHAnsi"/>
                <w:i w:val="0"/>
              </w:rPr>
              <w:t>2 14</w:t>
            </w:r>
            <w:r w:rsidR="009972E5"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746E90" w:rsidRPr="00496F4D" w:rsidTr="00226962">
        <w:tc>
          <w:tcPr>
            <w:tcW w:w="854" w:type="dxa"/>
            <w:vAlign w:val="center"/>
          </w:tcPr>
          <w:p w:rsidR="00746E90" w:rsidRPr="003E6566" w:rsidRDefault="00746E90" w:rsidP="00E12678">
            <w:pPr>
              <w:jc w:val="center"/>
              <w:rPr>
                <w:rFonts w:asciiTheme="minorHAnsi" w:eastAsia="Calibri" w:hAnsiTheme="minorHAnsi" w:cstheme="minorHAnsi"/>
                <w:i w:val="0"/>
              </w:rPr>
            </w:pPr>
          </w:p>
        </w:tc>
        <w:tc>
          <w:tcPr>
            <w:tcW w:w="2548" w:type="dxa"/>
            <w:vAlign w:val="center"/>
          </w:tcPr>
          <w:p w:rsidR="00746E90" w:rsidRPr="003E6566" w:rsidRDefault="00746E90" w:rsidP="00E12678">
            <w:pPr>
              <w:jc w:val="left"/>
              <w:rPr>
                <w:rFonts w:asciiTheme="minorHAnsi" w:eastAsia="Times New Roman" w:hAnsiTheme="minorHAnsi" w:cstheme="minorHAnsi"/>
                <w:i w:val="0"/>
              </w:rPr>
            </w:pPr>
          </w:p>
        </w:tc>
        <w:tc>
          <w:tcPr>
            <w:tcW w:w="4253" w:type="dxa"/>
            <w:vAlign w:val="center"/>
          </w:tcPr>
          <w:p w:rsidR="00746E90" w:rsidRPr="003E6566" w:rsidRDefault="00746E90"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746E90" w:rsidRPr="003E6566" w:rsidRDefault="00746E90" w:rsidP="00E12678">
            <w:pPr>
              <w:jc w:val="center"/>
              <w:rPr>
                <w:rFonts w:asciiTheme="minorHAnsi" w:eastAsia="Calibri" w:hAnsiTheme="minorHAnsi" w:cstheme="minorHAnsi"/>
                <w:i w:val="0"/>
              </w:rPr>
            </w:pPr>
          </w:p>
        </w:tc>
        <w:tc>
          <w:tcPr>
            <w:tcW w:w="1847"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c>
          <w:tcPr>
            <w:tcW w:w="1418" w:type="dxa"/>
            <w:shd w:val="clear" w:color="auto" w:fill="auto"/>
            <w:vAlign w:val="center"/>
          </w:tcPr>
          <w:p w:rsidR="00746E90" w:rsidRPr="002E4FB3" w:rsidRDefault="00746E90" w:rsidP="00E12678">
            <w:pPr>
              <w:jc w:val="center"/>
              <w:rPr>
                <w:rFonts w:asciiTheme="minorHAnsi" w:eastAsia="Calibri" w:hAnsiTheme="minorHAnsi" w:cstheme="minorHAnsi"/>
                <w:i w:val="0"/>
              </w:rPr>
            </w:pPr>
          </w:p>
        </w:tc>
        <w:tc>
          <w:tcPr>
            <w:tcW w:w="1843"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187 5</w:t>
            </w:r>
            <w:r w:rsidR="00BE4486" w:rsidRPr="002E4FB3">
              <w:rPr>
                <w:rFonts w:asciiTheme="minorHAnsi" w:eastAsia="Calibri" w:hAnsiTheme="minorHAnsi" w:cstheme="minorHAnsi"/>
                <w:i w:val="0"/>
              </w:rPr>
              <w:t>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w:t>
            </w:r>
            <w:r w:rsidR="00215E6D" w:rsidRPr="002E4FB3">
              <w:rPr>
                <w:rFonts w:asciiTheme="minorHAnsi" w:eastAsia="Calibri" w:hAnsiTheme="minorHAnsi" w:cstheme="minorHAnsi"/>
                <w:i w:val="0"/>
              </w:rPr>
              <w:t>7 5</w:t>
            </w:r>
            <w:r w:rsidR="00606E2B" w:rsidRPr="002E4FB3">
              <w:rPr>
                <w:rFonts w:asciiTheme="minorHAnsi" w:eastAsia="Calibri" w:hAnsiTheme="minorHAnsi" w:cstheme="minorHAnsi"/>
                <w:i w:val="0"/>
              </w:rPr>
              <w:t>00</w:t>
            </w:r>
          </w:p>
        </w:tc>
      </w:tr>
      <w:tr w:rsidR="00606E2B" w:rsidRPr="003E6566" w:rsidTr="00AB6626">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50 000</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FFFFFF" w:themeFill="background1"/>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1 </w:t>
            </w:r>
            <w:r w:rsidR="002A5B53">
              <w:rPr>
                <w:rFonts w:asciiTheme="minorHAnsi" w:eastAsia="Calibri" w:hAnsiTheme="minorHAnsi" w:cstheme="minorHAnsi"/>
                <w:i w:val="0"/>
              </w:rPr>
              <w:t>67</w:t>
            </w:r>
            <w:r w:rsidR="00606E2B" w:rsidRPr="002E4FB3">
              <w:rPr>
                <w:rFonts w:asciiTheme="minorHAnsi" w:eastAsia="Calibri" w:hAnsiTheme="minorHAnsi" w:cstheme="minorHAnsi"/>
                <w:i w:val="0"/>
              </w:rPr>
              <w:t>0 000</w:t>
            </w:r>
          </w:p>
        </w:tc>
      </w:tr>
      <w:tr w:rsidR="00606E2B" w:rsidRPr="003E6566" w:rsidTr="00AB6626">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AB6626" w:rsidP="00AB6626">
            <w:pPr>
              <w:numPr>
                <w:ilvl w:val="0"/>
                <w:numId w:val="21"/>
              </w:numPr>
              <w:shd w:val="clear" w:color="auto" w:fill="FFFF00"/>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FFFF00"/>
            <w:vAlign w:val="center"/>
          </w:tcPr>
          <w:p w:rsidR="00606E2B" w:rsidRPr="002E4FB3" w:rsidRDefault="00AB6626" w:rsidP="00E12678">
            <w:pPr>
              <w:jc w:val="right"/>
              <w:rPr>
                <w:rFonts w:asciiTheme="minorHAnsi" w:eastAsia="Calibri" w:hAnsiTheme="minorHAnsi" w:cstheme="minorHAnsi"/>
                <w:i w:val="0"/>
              </w:rPr>
            </w:pPr>
            <w:r>
              <w:rPr>
                <w:rFonts w:asciiTheme="minorHAnsi" w:eastAsia="Calibri" w:hAnsiTheme="minorHAnsi" w:cstheme="minorHAnsi"/>
                <w:i w:val="0"/>
              </w:rPr>
              <w:t>96</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50 000 </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60</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5"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6"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283C9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5"/>
      <w:bookmarkEnd w:id="56"/>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283C99">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AD6B2F">
      <w:pPr>
        <w:pStyle w:val="Nagwek1"/>
      </w:pPr>
      <w:bookmarkStart w:id="58" w:name="_Toc438759783"/>
      <w:r w:rsidRPr="00DD5E95">
        <w:t xml:space="preserve">ROZDZIAŁ VI </w:t>
      </w:r>
      <w:bookmarkStart w:id="59" w:name="_Toc435975928"/>
      <w:r w:rsidRPr="00DD5E95">
        <w:t>Sposób wyboru i oceny operacji oraz sposób ustanawiania kryteriów wyboru</w:t>
      </w:r>
      <w:bookmarkEnd w:id="58"/>
      <w:bookmarkEnd w:id="59"/>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D257DE">
        <w:rPr>
          <w:rFonts w:eastAsia="Calibri"/>
          <w:i w:val="0"/>
          <w:shd w:val="clear" w:color="auto" w:fill="FFFF00"/>
          <w:lang w:bidi="ar-SA"/>
        </w:rPr>
        <w:t>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ww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w:t>
      </w:r>
      <w:r>
        <w:rPr>
          <w:rFonts w:eastAsia="Calibri"/>
          <w:i w:val="0"/>
          <w:lang w:bidi="ar-SA"/>
        </w:rPr>
        <w:lastRenderedPageBreak/>
        <w:t xml:space="preserve">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w:t>
      </w:r>
      <w:r w:rsidR="00703460" w:rsidRPr="00441B20">
        <w:rPr>
          <w:rFonts w:eastAsia="Calibri"/>
          <w:i w:val="0"/>
          <w:lang w:bidi="ar-SA"/>
        </w:rPr>
        <w:lastRenderedPageBreak/>
        <w:t xml:space="preserve">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AD6B2F">
      <w:pPr>
        <w:pStyle w:val="Nagwek1"/>
      </w:pPr>
      <w:bookmarkStart w:id="60" w:name="_Toc435975929"/>
      <w:bookmarkStart w:id="61" w:name="_Toc438759784"/>
      <w:r w:rsidRPr="00AC22F0">
        <w:lastRenderedPageBreak/>
        <w:t>ROZDZIAŁ VII Plan działania</w:t>
      </w:r>
      <w:bookmarkEnd w:id="60"/>
      <w:bookmarkEnd w:id="61"/>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w:t>
      </w:r>
      <w:r w:rsidR="00684B06">
        <w:rPr>
          <w:rFonts w:eastAsia="Calibri"/>
          <w:i w:val="0"/>
          <w:szCs w:val="22"/>
          <w:lang w:bidi="ar-SA"/>
        </w:rPr>
        <w:t xml:space="preserve">ółpracy (przedsięwzięcie 1.2.5) </w:t>
      </w:r>
      <w:r w:rsidR="00684B06" w:rsidRPr="00FD5C06">
        <w:rPr>
          <w:rFonts w:eastAsia="Calibri"/>
          <w:i w:val="0"/>
          <w:szCs w:val="22"/>
          <w:shd w:val="clear" w:color="auto" w:fill="FFFF00"/>
          <w:lang w:bidi="ar-SA"/>
        </w:rPr>
        <w:t>oraz nabory w ramach dodatkowych środków finansowych na rozwój działalności gospodarczej oraz rekreacyjną i/lub kulturową infrastrukturę publiczną</w:t>
      </w:r>
      <w:r w:rsidR="00684B06">
        <w:rPr>
          <w:rFonts w:eastAsia="Calibri"/>
          <w:i w:val="0"/>
          <w:szCs w:val="22"/>
          <w:lang w:bidi="ar-SA"/>
        </w:rPr>
        <w:t xml:space="preserve">. </w:t>
      </w:r>
      <w:r w:rsidR="00CE4AE2">
        <w:br w:type="page"/>
      </w:r>
    </w:p>
    <w:p w:rsidR="00CE4AE2" w:rsidRPr="00D725A6" w:rsidRDefault="00CE4AE2" w:rsidP="00AD6B2F">
      <w:pPr>
        <w:pStyle w:val="Nagwek1"/>
      </w:pPr>
      <w:bookmarkStart w:id="62" w:name="_Toc438759785"/>
      <w:r w:rsidRPr="00D725A6">
        <w:lastRenderedPageBreak/>
        <w:t>ROZDZIAŁ VIII Budżet</w:t>
      </w:r>
      <w:bookmarkEnd w:id="62"/>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 co stanowi 4 750 000</w:t>
      </w:r>
      <w:r w:rsidRPr="00655EC3">
        <w:rPr>
          <w:rFonts w:eastAsia="Calibri"/>
          <w:i w:val="0"/>
          <w:lang w:bidi="ar-SA"/>
        </w:rPr>
        <w:t xml:space="preserve"> zł (wkład EFRROW</w:t>
      </w:r>
      <w:r w:rsidR="00AA294D" w:rsidRPr="00655EC3">
        <w:rPr>
          <w:rFonts w:eastAsia="Calibri"/>
          <w:i w:val="0"/>
          <w:lang w:bidi="ar-SA"/>
        </w:rPr>
        <w:t xml:space="preserve"> – 3 022 425</w:t>
      </w:r>
      <w:r w:rsidRPr="00655EC3">
        <w:rPr>
          <w:rFonts w:eastAsia="Calibri"/>
          <w:i w:val="0"/>
          <w:lang w:bidi="ar-SA"/>
        </w:rPr>
        <w:t xml:space="preserve"> zł)</w:t>
      </w:r>
      <w:r w:rsidR="007E7B9D" w:rsidRPr="00655EC3">
        <w:rPr>
          <w:rFonts w:eastAsia="Calibri"/>
          <w:i w:val="0"/>
          <w:lang w:bidi="ar-SA"/>
        </w:rPr>
        <w:t>, a w ramach dodatkowych środków d</w:t>
      </w:r>
      <w:r w:rsidR="00A550EC">
        <w:rPr>
          <w:rFonts w:eastAsia="Calibri"/>
          <w:i w:val="0"/>
          <w:lang w:bidi="ar-SA"/>
        </w:rPr>
        <w:t xml:space="preserve">o budżetu LSR </w:t>
      </w:r>
      <w:r w:rsidR="00A550EC" w:rsidRPr="00A550EC">
        <w:rPr>
          <w:rFonts w:eastAsia="Calibri"/>
          <w:i w:val="0"/>
          <w:shd w:val="clear" w:color="auto" w:fill="FFFF00"/>
          <w:lang w:bidi="ar-SA"/>
        </w:rPr>
        <w:t>26</w:t>
      </w:r>
      <w:r w:rsidR="007E7B9D" w:rsidRPr="00A550EC">
        <w:rPr>
          <w:rFonts w:eastAsia="Calibri"/>
          <w:i w:val="0"/>
          <w:shd w:val="clear" w:color="auto" w:fill="FFFF00"/>
          <w:lang w:bidi="ar-SA"/>
        </w:rPr>
        <w:t>0 000 euro</w:t>
      </w:r>
      <w:r w:rsidR="00A550EC" w:rsidRPr="00A550EC">
        <w:rPr>
          <w:rFonts w:eastAsia="Calibri"/>
          <w:i w:val="0"/>
          <w:shd w:val="clear" w:color="auto" w:fill="FFFF00"/>
          <w:lang w:bidi="ar-SA"/>
        </w:rPr>
        <w:t>, co stanowi 1 040 000 zł (wkład EFRROW – 661 752</w:t>
      </w:r>
      <w:r w:rsidR="00E47F20" w:rsidRPr="00A550EC">
        <w:rPr>
          <w:rFonts w:eastAsia="Calibri"/>
          <w:i w:val="0"/>
          <w:shd w:val="clear" w:color="auto" w:fill="FFFF00"/>
          <w:lang w:bidi="ar-SA"/>
        </w:rPr>
        <w:t xml:space="preserve"> zł)</w:t>
      </w:r>
      <w:r w:rsidR="00E47F20" w:rsidRPr="00655EC3">
        <w:rPr>
          <w:rFonts w:eastAsia="Calibri"/>
          <w:i w:val="0"/>
          <w:lang w:bidi="ar-SA"/>
        </w:rPr>
        <w:t xml:space="preserve"> </w:t>
      </w:r>
      <w:r w:rsidRPr="00655EC3">
        <w:rPr>
          <w:rFonts w:eastAsia="Calibri"/>
          <w:i w:val="0"/>
          <w:lang w:bidi="ar-SA"/>
        </w:rPr>
        <w:t xml:space="preserve">. 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oddziałanie 19.2, co stanowi 237,5</w:t>
      </w:r>
      <w:r w:rsidRPr="00655EC3">
        <w:rPr>
          <w:rFonts w:eastAsia="Calibri"/>
          <w:i w:val="0"/>
          <w:lang w:bidi="ar-SA"/>
        </w:rPr>
        <w:t xml:space="preserve"> tys. zł. Maksymalna kwota środków na podd</w:t>
      </w:r>
      <w:r w:rsidR="00AA294D" w:rsidRPr="00655EC3">
        <w:rPr>
          <w:rFonts w:eastAsia="Calibri"/>
          <w:i w:val="0"/>
          <w:lang w:bidi="ar-SA"/>
        </w:rPr>
        <w:t xml:space="preserve">ziałanie 19.4 to z kolei 296 875 euro, a więc 1 187 500 zł, w tym koszty bieżące   1 127 500 </w:t>
      </w:r>
      <w:r w:rsidRPr="00655EC3">
        <w:rPr>
          <w:rFonts w:eastAsia="Calibri"/>
          <w:i w:val="0"/>
          <w:lang w:bidi="ar-SA"/>
        </w:rPr>
        <w:t>zł,</w:t>
      </w:r>
      <w:r w:rsidR="00F37D3A" w:rsidRPr="00655EC3">
        <w:rPr>
          <w:rFonts w:eastAsia="Calibri"/>
          <w:i w:val="0"/>
          <w:lang w:bidi="ar-SA"/>
        </w:rPr>
        <w:t xml:space="preserve"> </w:t>
      </w:r>
      <w:r w:rsidRPr="00655EC3">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rsidR="00226962" w:rsidRPr="003E6566"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związane</w:t>
      </w:r>
      <w:r w:rsidR="00BD0213" w:rsidRPr="00655EC3">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 2</w:t>
      </w:r>
      <w:r w:rsidR="00856BEB" w:rsidRPr="00655EC3">
        <w:rPr>
          <w:rFonts w:eastAsia="Calibri"/>
          <w:i w:val="0"/>
          <w:lang w:bidi="ar-SA"/>
        </w:rPr>
        <w:t> </w:t>
      </w:r>
      <w:r w:rsidR="00AA294D" w:rsidRPr="00655EC3">
        <w:rPr>
          <w:rFonts w:eastAsia="Calibri"/>
          <w:i w:val="0"/>
          <w:lang w:bidi="ar-SA"/>
        </w:rPr>
        <w:t>450</w:t>
      </w:r>
      <w:r w:rsidR="00856BEB" w:rsidRPr="00655EC3">
        <w:rPr>
          <w:rFonts w:eastAsia="Calibri"/>
          <w:i w:val="0"/>
          <w:lang w:bidi="ar-SA"/>
        </w:rPr>
        <w:t xml:space="preserve"> </w:t>
      </w:r>
      <w:r w:rsidR="00AA294D" w:rsidRPr="00655EC3">
        <w:rPr>
          <w:rFonts w:eastAsia="Calibri"/>
          <w:i w:val="0"/>
          <w:lang w:bidi="ar-SA"/>
        </w:rPr>
        <w:t>000</w:t>
      </w:r>
      <w:r w:rsidR="00CD6D1A" w:rsidRPr="00655EC3">
        <w:rPr>
          <w:rFonts w:eastAsia="Calibri"/>
          <w:i w:val="0"/>
          <w:lang w:bidi="ar-SA"/>
        </w:rPr>
        <w:t xml:space="preserve"> </w:t>
      </w:r>
      <w:r w:rsidR="00226962" w:rsidRPr="00655EC3">
        <w:rPr>
          <w:rFonts w:eastAsia="Calibri"/>
          <w:i w:val="0"/>
          <w:lang w:bidi="ar-SA"/>
        </w:rPr>
        <w:t>zł</w:t>
      </w:r>
      <w:r w:rsidR="0097112F" w:rsidRPr="00655EC3">
        <w:t xml:space="preserve"> </w:t>
      </w:r>
      <w:r w:rsidR="0097112F" w:rsidRPr="003A67BD">
        <w:rPr>
          <w:rFonts w:eastAsia="Calibri"/>
          <w:i w:val="0"/>
          <w:shd w:val="clear" w:color="auto" w:fill="FFFF00"/>
          <w:lang w:bidi="ar-SA"/>
        </w:rPr>
        <w:t>a w ramach do</w:t>
      </w:r>
      <w:r w:rsidR="00740481">
        <w:rPr>
          <w:rFonts w:eastAsia="Calibri"/>
          <w:i w:val="0"/>
          <w:shd w:val="clear" w:color="auto" w:fill="FFFF00"/>
          <w:lang w:bidi="ar-SA"/>
        </w:rPr>
        <w:t>datkowych środków do budżetu  78</w:t>
      </w:r>
      <w:r w:rsidR="0097112F" w:rsidRPr="003A67BD">
        <w:rPr>
          <w:rFonts w:eastAsia="Calibri"/>
          <w:i w:val="0"/>
          <w:shd w:val="clear" w:color="auto" w:fill="FFFF00"/>
          <w:lang w:bidi="ar-SA"/>
        </w:rPr>
        <w:t>0 000 zł</w:t>
      </w:r>
      <w:r w:rsidR="00226962" w:rsidRPr="00655EC3">
        <w:rPr>
          <w:rFonts w:eastAsia="Calibri"/>
          <w:i w:val="0"/>
          <w:lang w:bidi="ar-SA"/>
        </w:rPr>
        <w:t>.</w:t>
      </w:r>
      <w:r w:rsidR="00740481" w:rsidRPr="00740481">
        <w:rPr>
          <w:rFonts w:eastAsia="Calibri"/>
          <w:i w:val="0"/>
          <w:lang w:bidi="ar-SA"/>
        </w:rPr>
        <w:t xml:space="preserve"> </w:t>
      </w:r>
      <w:r w:rsidR="00740481" w:rsidRPr="009008C4">
        <w:rPr>
          <w:rFonts w:eastAsia="Calibri"/>
          <w:i w:val="0"/>
          <w:shd w:val="clear" w:color="auto" w:fill="FFFF00"/>
          <w:lang w:bidi="ar-SA"/>
        </w:rPr>
        <w:t xml:space="preserve">W ramach celu szczegółowego 1 </w:t>
      </w:r>
      <w:r w:rsidR="009008C4">
        <w:rPr>
          <w:rFonts w:eastAsia="Calibri"/>
          <w:i w:val="0"/>
          <w:shd w:val="clear" w:color="auto" w:fill="FFFF00"/>
          <w:lang w:bidi="ar-SA"/>
        </w:rPr>
        <w:t xml:space="preserve">- </w:t>
      </w:r>
      <w:r w:rsidR="00991305" w:rsidRPr="009008C4">
        <w:rPr>
          <w:rFonts w:eastAsia="Calibri"/>
          <w:i w:val="0"/>
          <w:shd w:val="clear" w:color="auto" w:fill="FFFF00"/>
          <w:lang w:bidi="ar-SA"/>
        </w:rPr>
        <w:t xml:space="preserve">Stworzenie warunków do aktywności i zaangażowania mieszkańców - </w:t>
      </w:r>
      <w:r w:rsidR="00740481" w:rsidRPr="009008C4">
        <w:rPr>
          <w:rFonts w:eastAsia="Calibri"/>
          <w:i w:val="0"/>
          <w:shd w:val="clear" w:color="auto" w:fill="FFFF00"/>
          <w:lang w:bidi="ar-SA"/>
        </w:rPr>
        <w:t xml:space="preserve">przewidziano kwotę w wysokości </w:t>
      </w:r>
      <w:r w:rsidR="009008C4" w:rsidRPr="009008C4">
        <w:rPr>
          <w:rFonts w:eastAsia="Calibri"/>
          <w:i w:val="0"/>
          <w:shd w:val="clear" w:color="auto" w:fill="FFFF00"/>
          <w:lang w:bidi="ar-SA"/>
        </w:rPr>
        <w:t xml:space="preserve"> </w:t>
      </w:r>
      <w:r w:rsidR="00740481" w:rsidRPr="009008C4">
        <w:rPr>
          <w:rFonts w:eastAsia="Calibri"/>
          <w:i w:val="0"/>
          <w:shd w:val="clear" w:color="auto" w:fill="FFFF00"/>
          <w:lang w:bidi="ar-SA"/>
        </w:rPr>
        <w:t> </w:t>
      </w:r>
      <w:r w:rsidR="009008C4" w:rsidRPr="009008C4">
        <w:rPr>
          <w:rFonts w:eastAsia="Calibri"/>
          <w:i w:val="0"/>
          <w:shd w:val="clear" w:color="auto" w:fill="FFFF00"/>
          <w:lang w:bidi="ar-SA"/>
        </w:rPr>
        <w:t>2 250</w:t>
      </w:r>
      <w:r w:rsidR="00740481" w:rsidRPr="009008C4">
        <w:rPr>
          <w:rFonts w:eastAsia="Calibri"/>
          <w:i w:val="0"/>
          <w:shd w:val="clear" w:color="auto" w:fill="FFFF00"/>
          <w:lang w:bidi="ar-SA"/>
        </w:rPr>
        <w:t> 000 zł,  a w ramach dodatkowych środków do budżetu 260 000 zł</w:t>
      </w:r>
      <w:r w:rsidR="009008C4" w:rsidRPr="009008C4">
        <w:rPr>
          <w:rFonts w:eastAsia="Calibri"/>
          <w:i w:val="0"/>
          <w:shd w:val="clear" w:color="auto" w:fill="FFFF00"/>
          <w:lang w:bidi="ar-SA"/>
        </w:rPr>
        <w:t>.</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lastRenderedPageBreak/>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9C6984">
        <w:rPr>
          <w:rFonts w:eastAsia="Calibri"/>
          <w:i w:val="0"/>
          <w:color w:val="000000"/>
          <w:lang w:bidi="ar-SA"/>
        </w:rPr>
        <w:t xml:space="preserve"> </w:t>
      </w:r>
      <w:r w:rsidR="00771945">
        <w:rPr>
          <w:rFonts w:eastAsia="Calibri"/>
          <w:i w:val="0"/>
          <w:color w:val="000000"/>
          <w:shd w:val="clear" w:color="auto" w:fill="FFFF00"/>
          <w:lang w:bidi="ar-SA"/>
        </w:rPr>
        <w:t>6 087 500</w:t>
      </w:r>
      <w:r w:rsidRPr="003A67BD">
        <w:rPr>
          <w:rFonts w:eastAsia="Calibri"/>
          <w:i w:val="0"/>
          <w:color w:val="000000"/>
          <w:shd w:val="clear" w:color="auto" w:fill="FFFF00"/>
          <w:lang w:bidi="ar-SA"/>
        </w:rPr>
        <w:t xml:space="preserve"> zł</w:t>
      </w:r>
      <w:r w:rsidR="001431E1" w:rsidRPr="003A67BD">
        <w:rPr>
          <w:rFonts w:eastAsia="Calibri"/>
          <w:i w:val="0"/>
          <w:color w:val="000000"/>
          <w:shd w:val="clear" w:color="auto" w:fill="FFFF00"/>
          <w:lang w:bidi="ar-SA"/>
        </w:rPr>
        <w:t>.</w:t>
      </w:r>
      <w:r w:rsidR="00CE4AE2">
        <w:br w:type="page"/>
      </w:r>
    </w:p>
    <w:p w:rsidR="00CE4AE2" w:rsidRPr="004B33EC" w:rsidRDefault="00CE4AE2" w:rsidP="00AD6B2F">
      <w:pPr>
        <w:pStyle w:val="Nagwek1"/>
      </w:pPr>
      <w:bookmarkStart w:id="63" w:name="_Toc438759786"/>
      <w:r w:rsidRPr="00752688">
        <w:lastRenderedPageBreak/>
        <w:t>ROZDZIAŁ IX Plan komunikacji</w:t>
      </w:r>
      <w:bookmarkEnd w:id="63"/>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AD6B2F">
      <w:pPr>
        <w:pStyle w:val="Nagwek1"/>
      </w:pPr>
      <w:bookmarkStart w:id="64" w:name="_Toc438759787"/>
      <w:r w:rsidRPr="004B33EC">
        <w:lastRenderedPageBreak/>
        <w:t xml:space="preserve">ROZDZIAŁ </w:t>
      </w:r>
      <w:r w:rsidR="004B33EC" w:rsidRPr="004B33EC">
        <w:t>X Zintegrowanie</w:t>
      </w:r>
      <w:bookmarkEnd w:id="64"/>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283C9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283C9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AD6B2F">
      <w:pPr>
        <w:pStyle w:val="Nagwek1"/>
      </w:pPr>
      <w:bookmarkStart w:id="67" w:name="_Toc438759788"/>
      <w:r>
        <w:lastRenderedPageBreak/>
        <w:t>ROZDZIAŁ XI Monitoring i ewaluacja</w:t>
      </w:r>
      <w:bookmarkEnd w:id="67"/>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283C99">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283C9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AD6B2F">
      <w:pPr>
        <w:pStyle w:val="Nagwek1"/>
      </w:pPr>
      <w:bookmarkStart w:id="70" w:name="_Toc438759789"/>
      <w:r>
        <w:lastRenderedPageBreak/>
        <w:t xml:space="preserve">ROZDZIAŁ XII </w:t>
      </w:r>
      <w:bookmarkStart w:id="71" w:name="_Toc435975934"/>
      <w:r w:rsidRPr="00AC22F0">
        <w:t>Strategiczna ocena oddziaływania na środowisko</w:t>
      </w:r>
      <w:bookmarkEnd w:id="70"/>
      <w:bookmarkEnd w:id="71"/>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283C99">
          <w:rPr>
            <w:i w:val="0"/>
            <w:noProof/>
            <w:webHidden/>
            <w:sz w:val="22"/>
          </w:rPr>
          <w:t>4</w:t>
        </w:r>
        <w:r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8</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10</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13</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17</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18</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22</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27</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34</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36</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39</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42</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46</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56</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57</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58</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59</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72</w:t>
        </w:r>
        <w:r w:rsidR="003A5AF6" w:rsidRPr="004838B6">
          <w:rPr>
            <w:i w:val="0"/>
            <w:noProof/>
            <w:webHidden/>
            <w:sz w:val="22"/>
          </w:rPr>
          <w:fldChar w:fldCharType="end"/>
        </w:r>
      </w:hyperlink>
    </w:p>
    <w:p w:rsidR="004838B6" w:rsidRPr="004838B6" w:rsidRDefault="00783B4D"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74</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283C99">
          <w:rPr>
            <w:i w:val="0"/>
            <w:noProof/>
            <w:webHidden/>
            <w:sz w:val="22"/>
            <w:szCs w:val="22"/>
          </w:rPr>
          <w:t>11</w:t>
        </w:r>
        <w:r w:rsidRPr="009729C3">
          <w:rPr>
            <w:i w:val="0"/>
            <w:noProof/>
            <w:webHidden/>
            <w:sz w:val="22"/>
            <w:szCs w:val="22"/>
          </w:rPr>
          <w:fldChar w:fldCharType="end"/>
        </w:r>
      </w:hyperlink>
    </w:p>
    <w:p w:rsidR="009729C3" w:rsidRPr="009729C3" w:rsidRDefault="00783B4D"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11</w:t>
        </w:r>
        <w:r w:rsidR="003A5AF6" w:rsidRPr="009729C3">
          <w:rPr>
            <w:i w:val="0"/>
            <w:noProof/>
            <w:webHidden/>
            <w:sz w:val="22"/>
            <w:szCs w:val="22"/>
          </w:rPr>
          <w:fldChar w:fldCharType="end"/>
        </w:r>
      </w:hyperlink>
    </w:p>
    <w:p w:rsidR="009729C3" w:rsidRPr="009729C3" w:rsidRDefault="00783B4D"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12</w:t>
        </w:r>
        <w:r w:rsidR="003A5AF6" w:rsidRPr="009729C3">
          <w:rPr>
            <w:i w:val="0"/>
            <w:noProof/>
            <w:webHidden/>
            <w:sz w:val="22"/>
            <w:szCs w:val="22"/>
          </w:rPr>
          <w:fldChar w:fldCharType="end"/>
        </w:r>
      </w:hyperlink>
    </w:p>
    <w:p w:rsidR="000930DA" w:rsidRPr="009729C3" w:rsidRDefault="00783B4D"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783B4D"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4</w:t>
        </w:r>
        <w:r w:rsidR="003A5AF6" w:rsidRPr="009729C3">
          <w:rPr>
            <w:i w:val="0"/>
            <w:noProof/>
            <w:webHidden/>
            <w:sz w:val="22"/>
            <w:szCs w:val="22"/>
          </w:rPr>
          <w:fldChar w:fldCharType="end"/>
        </w:r>
      </w:hyperlink>
    </w:p>
    <w:p w:rsidR="000930DA" w:rsidRPr="009729C3" w:rsidRDefault="00783B4D"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31</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AD6B2F">
      <w:pPr>
        <w:pStyle w:val="Nagwek1"/>
      </w:pPr>
      <w:bookmarkStart w:id="76" w:name="_Toc438759793"/>
      <w:r w:rsidRPr="00104CC1">
        <w:lastRenderedPageBreak/>
        <w:t>Załączniki do LSR</w:t>
      </w:r>
      <w:bookmarkEnd w:id="76"/>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709"/>
        <w:gridCol w:w="851"/>
        <w:gridCol w:w="708"/>
        <w:gridCol w:w="709"/>
        <w:gridCol w:w="567"/>
        <w:gridCol w:w="992"/>
        <w:gridCol w:w="709"/>
        <w:gridCol w:w="1134"/>
        <w:gridCol w:w="992"/>
        <w:gridCol w:w="1560"/>
      </w:tblGrid>
      <w:tr w:rsidR="007028E4" w:rsidRPr="003814E9" w:rsidTr="00A13088">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26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A13088">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A13088">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B66E6E" w:rsidP="007028E4">
            <w:pPr>
              <w:spacing w:line="240" w:lineRule="auto"/>
              <w:jc w:val="right"/>
              <w:rPr>
                <w:rFonts w:eastAsia="Calibri"/>
                <w:i w:val="0"/>
                <w:sz w:val="22"/>
                <w:szCs w:val="22"/>
                <w:lang w:bidi="ar-SA"/>
              </w:rPr>
            </w:pPr>
            <w:r>
              <w:rPr>
                <w:rFonts w:eastAsia="Calibri"/>
                <w:i w:val="0"/>
                <w:sz w:val="22"/>
                <w:szCs w:val="22"/>
                <w:lang w:bidi="ar-SA"/>
              </w:rPr>
              <w:t>10</w:t>
            </w:r>
            <w:r w:rsidR="007028E4"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A93F02" w:rsidP="007028E4">
            <w:pPr>
              <w:spacing w:line="240" w:lineRule="auto"/>
              <w:jc w:val="right"/>
              <w:rPr>
                <w:rFonts w:eastAsia="Calibri"/>
                <w:i w:val="0"/>
                <w:sz w:val="22"/>
                <w:szCs w:val="22"/>
                <w:lang w:bidi="ar-SA"/>
              </w:rPr>
            </w:pPr>
            <w:r>
              <w:rPr>
                <w:rFonts w:eastAsia="Calibri"/>
                <w:i w:val="0"/>
                <w:sz w:val="22"/>
                <w:szCs w:val="22"/>
                <w:lang w:bidi="ar-SA"/>
              </w:rPr>
              <w:t>85</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FFFF00"/>
            <w:vAlign w:val="center"/>
          </w:tcPr>
          <w:p w:rsidR="007028E4" w:rsidRPr="003814E9" w:rsidRDefault="00B66E6E" w:rsidP="007028E4">
            <w:pPr>
              <w:spacing w:line="240" w:lineRule="auto"/>
              <w:jc w:val="right"/>
              <w:rPr>
                <w:rFonts w:eastAsia="Calibri"/>
                <w:i w:val="0"/>
                <w:sz w:val="22"/>
                <w:szCs w:val="22"/>
                <w:lang w:bidi="ar-SA"/>
              </w:rPr>
            </w:pPr>
            <w:r>
              <w:rPr>
                <w:rFonts w:eastAsia="Calibri"/>
                <w:i w:val="0"/>
                <w:sz w:val="22"/>
                <w:szCs w:val="22"/>
                <w:lang w:bidi="ar-SA"/>
              </w:rPr>
              <w:t>2</w:t>
            </w:r>
            <w:r w:rsidR="004348AB">
              <w:rPr>
                <w:rFonts w:eastAsia="Calibri"/>
                <w:i w:val="0"/>
                <w:sz w:val="22"/>
                <w:szCs w:val="22"/>
                <w:lang w:bidi="ar-SA"/>
              </w:rPr>
              <w:t xml:space="preserve"> szt.</w:t>
            </w:r>
          </w:p>
        </w:tc>
        <w:tc>
          <w:tcPr>
            <w:tcW w:w="567" w:type="dxa"/>
            <w:tcBorders>
              <w:bottom w:val="single" w:sz="4" w:space="0" w:color="auto"/>
            </w:tcBorders>
            <w:shd w:val="clear" w:color="auto" w:fill="FFFF00"/>
            <w:vAlign w:val="center"/>
          </w:tcPr>
          <w:p w:rsidR="007028E4" w:rsidRPr="003814E9" w:rsidRDefault="004348AB" w:rsidP="004348AB">
            <w:pPr>
              <w:spacing w:line="240" w:lineRule="auto"/>
              <w:jc w:val="center"/>
              <w:rPr>
                <w:rFonts w:eastAsia="Calibri"/>
                <w:i w:val="0"/>
                <w:sz w:val="22"/>
                <w:szCs w:val="22"/>
                <w:lang w:bidi="ar-SA"/>
              </w:rPr>
            </w:pPr>
            <w:r>
              <w:rPr>
                <w:rFonts w:eastAsia="Calibri"/>
                <w:i w:val="0"/>
                <w:sz w:val="22"/>
                <w:szCs w:val="22"/>
                <w:lang w:bidi="ar-SA"/>
              </w:rPr>
              <w:t>100</w:t>
            </w:r>
          </w:p>
        </w:tc>
        <w:tc>
          <w:tcPr>
            <w:tcW w:w="992" w:type="dxa"/>
            <w:tcBorders>
              <w:bottom w:val="single" w:sz="4" w:space="0" w:color="auto"/>
            </w:tcBorders>
            <w:shd w:val="clear" w:color="auto" w:fill="FFFF00"/>
            <w:vAlign w:val="center"/>
          </w:tcPr>
          <w:p w:rsidR="00A13088" w:rsidRDefault="00A13088" w:rsidP="00A13088">
            <w:pPr>
              <w:spacing w:line="240" w:lineRule="auto"/>
              <w:rPr>
                <w:rFonts w:eastAsia="Calibri"/>
                <w:i w:val="0"/>
                <w:sz w:val="22"/>
                <w:szCs w:val="22"/>
                <w:lang w:bidi="ar-SA"/>
              </w:rPr>
            </w:pPr>
          </w:p>
          <w:p w:rsidR="007028E4" w:rsidRPr="003814E9" w:rsidRDefault="00A13088" w:rsidP="00A13088">
            <w:pPr>
              <w:spacing w:line="240" w:lineRule="auto"/>
              <w:rPr>
                <w:rFonts w:eastAsia="Calibri"/>
                <w:i w:val="0"/>
                <w:sz w:val="22"/>
                <w:szCs w:val="22"/>
                <w:lang w:bidi="ar-SA"/>
              </w:rPr>
            </w:pPr>
            <w:r>
              <w:rPr>
                <w:rFonts w:eastAsia="Calibri"/>
                <w:i w:val="0"/>
                <w:sz w:val="22"/>
                <w:szCs w:val="22"/>
                <w:lang w:bidi="ar-SA"/>
              </w:rPr>
              <w:t xml:space="preserve">260 </w:t>
            </w:r>
            <w:r w:rsidR="00B66E6E">
              <w:rPr>
                <w:rFonts w:eastAsia="Calibri"/>
                <w:i w:val="0"/>
                <w:sz w:val="22"/>
                <w:szCs w:val="22"/>
                <w:lang w:bidi="ar-SA"/>
              </w:rPr>
              <w:t>000</w:t>
            </w:r>
            <w:r w:rsidR="00B66E6E">
              <w:rPr>
                <w:rFonts w:eastAsia="Calibri"/>
                <w:i w:val="0"/>
                <w:sz w:val="22"/>
                <w:szCs w:val="22"/>
                <w:lang w:bidi="ar-SA"/>
              </w:rPr>
              <w:tab/>
            </w:r>
          </w:p>
        </w:tc>
        <w:tc>
          <w:tcPr>
            <w:tcW w:w="709" w:type="dxa"/>
            <w:tcBorders>
              <w:bottom w:val="single" w:sz="4" w:space="0" w:color="auto"/>
            </w:tcBorders>
            <w:shd w:val="clear" w:color="auto" w:fill="FFFF00"/>
            <w:vAlign w:val="center"/>
          </w:tcPr>
          <w:p w:rsidR="007028E4" w:rsidRPr="003814E9" w:rsidRDefault="001D2FDE" w:rsidP="007028E4">
            <w:pPr>
              <w:spacing w:line="240" w:lineRule="auto"/>
              <w:jc w:val="right"/>
              <w:rPr>
                <w:rFonts w:eastAsia="Calibri"/>
                <w:i w:val="0"/>
                <w:sz w:val="22"/>
                <w:szCs w:val="22"/>
                <w:lang w:bidi="ar-SA"/>
              </w:rPr>
            </w:pPr>
            <w:r>
              <w:rPr>
                <w:rFonts w:eastAsia="Calibri"/>
                <w:i w:val="0"/>
                <w:sz w:val="22"/>
                <w:szCs w:val="22"/>
                <w:lang w:bidi="ar-SA"/>
              </w:rPr>
              <w:t>12</w:t>
            </w:r>
          </w:p>
        </w:tc>
        <w:tc>
          <w:tcPr>
            <w:tcW w:w="1134" w:type="dxa"/>
            <w:tcBorders>
              <w:bottom w:val="single" w:sz="4" w:space="0" w:color="auto"/>
            </w:tcBorders>
            <w:shd w:val="clear" w:color="auto" w:fill="auto"/>
            <w:vAlign w:val="center"/>
          </w:tcPr>
          <w:p w:rsidR="007028E4" w:rsidRPr="003814E9" w:rsidRDefault="00B66E6E" w:rsidP="004F5392">
            <w:pPr>
              <w:spacing w:line="240" w:lineRule="auto"/>
              <w:jc w:val="right"/>
              <w:rPr>
                <w:rFonts w:eastAsia="Calibri"/>
                <w:i w:val="0"/>
                <w:sz w:val="22"/>
                <w:szCs w:val="22"/>
                <w:lang w:bidi="ar-SA"/>
              </w:rPr>
            </w:pPr>
            <w:r>
              <w:rPr>
                <w:rFonts w:eastAsia="Calibri"/>
                <w:i w:val="0"/>
                <w:sz w:val="22"/>
                <w:szCs w:val="22"/>
                <w:lang w:bidi="ar-SA"/>
              </w:rPr>
              <w:t>2 145</w:t>
            </w:r>
            <w:r w:rsidR="007028E4"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A13088">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A13088">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A13088">
        <w:trPr>
          <w:cantSplit/>
          <w:trHeight w:val="1416"/>
          <w:jc w:val="center"/>
        </w:trPr>
        <w:tc>
          <w:tcPr>
            <w:tcW w:w="2122" w:type="dxa"/>
            <w:tcBorders>
              <w:bottom w:val="nil"/>
            </w:tcBorders>
            <w:shd w:val="clear" w:color="auto" w:fill="FFFFFF"/>
            <w:vAlign w:val="center"/>
          </w:tcPr>
          <w:p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992"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A13088">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559"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2E4FB3">
              <w:rPr>
                <w:rFonts w:eastAsia="Calibri"/>
                <w:b/>
                <w:i w:val="0"/>
                <w:sz w:val="22"/>
                <w:szCs w:val="22"/>
                <w:lang w:bidi="ar-SA"/>
              </w:rPr>
              <w:t>2</w:t>
            </w:r>
            <w:r w:rsidR="005407B6">
              <w:rPr>
                <w:rFonts w:eastAsia="Calibri"/>
                <w:b/>
                <w:i w:val="0"/>
                <w:sz w:val="22"/>
                <w:szCs w:val="22"/>
                <w:lang w:bidi="ar-SA"/>
              </w:rPr>
              <w:t xml:space="preserve"> </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276"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992" w:type="dxa"/>
            <w:shd w:val="clear" w:color="auto" w:fill="FFFF00"/>
            <w:vAlign w:val="center"/>
          </w:tcPr>
          <w:p w:rsidR="007028E4" w:rsidRPr="00496F4D" w:rsidRDefault="00B66E6E" w:rsidP="007028E4">
            <w:pPr>
              <w:spacing w:line="240" w:lineRule="auto"/>
              <w:jc w:val="right"/>
              <w:rPr>
                <w:rFonts w:eastAsia="Calibri"/>
                <w:b/>
                <w:i w:val="0"/>
                <w:sz w:val="22"/>
                <w:szCs w:val="22"/>
                <w:lang w:bidi="ar-SA"/>
              </w:rPr>
            </w:pPr>
            <w:r>
              <w:rPr>
                <w:rFonts w:eastAsia="Calibri"/>
                <w:b/>
                <w:i w:val="0"/>
                <w:sz w:val="22"/>
                <w:szCs w:val="22"/>
                <w:lang w:bidi="ar-SA"/>
              </w:rPr>
              <w:t>260 000</w:t>
            </w:r>
          </w:p>
        </w:tc>
        <w:tc>
          <w:tcPr>
            <w:tcW w:w="709"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1134" w:type="dxa"/>
            <w:shd w:val="clear" w:color="auto" w:fill="FFFF00"/>
            <w:vAlign w:val="center"/>
          </w:tcPr>
          <w:p w:rsidR="007028E4" w:rsidRPr="002E4FB3" w:rsidRDefault="007028E4" w:rsidP="00AE0FE2">
            <w:pPr>
              <w:spacing w:line="240" w:lineRule="auto"/>
              <w:jc w:val="right"/>
              <w:rPr>
                <w:rFonts w:eastAsia="Calibri"/>
                <w:b/>
                <w:i w:val="0"/>
                <w:sz w:val="22"/>
                <w:szCs w:val="22"/>
                <w:lang w:bidi="ar-SA"/>
              </w:rPr>
            </w:pPr>
            <w:r w:rsidRPr="002E4FB3">
              <w:rPr>
                <w:rFonts w:eastAsia="Calibri"/>
                <w:b/>
                <w:i w:val="0"/>
                <w:sz w:val="22"/>
                <w:szCs w:val="22"/>
                <w:lang w:bidi="ar-SA"/>
              </w:rPr>
              <w:t>2 </w:t>
            </w:r>
            <w:r w:rsidR="00B66E6E">
              <w:rPr>
                <w:rFonts w:eastAsia="Calibri"/>
                <w:b/>
                <w:i w:val="0"/>
                <w:sz w:val="22"/>
                <w:szCs w:val="22"/>
                <w:lang w:bidi="ar-SA"/>
              </w:rPr>
              <w:t>69</w:t>
            </w:r>
            <w:r w:rsidR="0050066D" w:rsidRPr="002E4FB3">
              <w:rPr>
                <w:rFonts w:eastAsia="Calibri"/>
                <w:b/>
                <w:i w:val="0"/>
                <w:sz w:val="22"/>
                <w:szCs w:val="22"/>
                <w:lang w:bidi="ar-SA"/>
              </w:rPr>
              <w:t>7 5</w:t>
            </w:r>
            <w:r w:rsidRPr="002E4FB3">
              <w:rPr>
                <w:rFonts w:eastAsia="Calibri"/>
                <w:b/>
                <w:i w:val="0"/>
                <w:sz w:val="22"/>
                <w:szCs w:val="22"/>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567"/>
        <w:gridCol w:w="709"/>
        <w:gridCol w:w="709"/>
        <w:gridCol w:w="709"/>
        <w:gridCol w:w="850"/>
        <w:gridCol w:w="425"/>
        <w:gridCol w:w="567"/>
        <w:gridCol w:w="709"/>
        <w:gridCol w:w="1134"/>
        <w:gridCol w:w="992"/>
        <w:gridCol w:w="1560"/>
      </w:tblGrid>
      <w:tr w:rsidR="007028E4" w:rsidRPr="003814E9" w:rsidTr="00147703">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1985"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147703">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147703" w:rsidRPr="003814E9" w:rsidTr="005407B6">
        <w:trPr>
          <w:cantSplit/>
          <w:trHeight w:val="120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8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1 150 000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FFFFFF" w:themeFill="background1"/>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2 szt.</w:t>
            </w:r>
          </w:p>
        </w:tc>
        <w:tc>
          <w:tcPr>
            <w:tcW w:w="850" w:type="dxa"/>
            <w:tcBorders>
              <w:bottom w:val="single" w:sz="4" w:space="0" w:color="auto"/>
            </w:tcBorders>
            <w:shd w:val="clear" w:color="auto" w:fill="FFFFFF" w:themeFill="background1"/>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100</w:t>
            </w:r>
          </w:p>
        </w:tc>
        <w:tc>
          <w:tcPr>
            <w:tcW w:w="992" w:type="dxa"/>
            <w:gridSpan w:val="2"/>
            <w:tcBorders>
              <w:bottom w:val="single" w:sz="4" w:space="0" w:color="auto"/>
            </w:tcBorders>
            <w:shd w:val="clear" w:color="auto" w:fill="FFFFFF" w:themeFill="background1"/>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520 000</w:t>
            </w:r>
          </w:p>
        </w:tc>
        <w:tc>
          <w:tcPr>
            <w:tcW w:w="709" w:type="dxa"/>
            <w:tcBorders>
              <w:bottom w:val="single" w:sz="4" w:space="0" w:color="auto"/>
            </w:tcBorders>
            <w:shd w:val="clear" w:color="auto" w:fill="FFFFFF" w:themeFill="background1"/>
            <w:vAlign w:val="center"/>
          </w:tcPr>
          <w:p w:rsidR="00147703" w:rsidRPr="003814E9" w:rsidRDefault="00147703" w:rsidP="00147703">
            <w:pPr>
              <w:spacing w:line="240" w:lineRule="auto"/>
              <w:jc w:val="right"/>
              <w:rPr>
                <w:rFonts w:eastAsia="Calibri"/>
                <w:i w:val="0"/>
                <w:sz w:val="22"/>
                <w:szCs w:val="22"/>
                <w:lang w:bidi="ar-SA"/>
              </w:rPr>
            </w:pPr>
            <w:r>
              <w:rPr>
                <w:rFonts w:eastAsia="Calibri"/>
                <w:i w:val="0"/>
                <w:sz w:val="22"/>
                <w:szCs w:val="22"/>
                <w:lang w:bidi="ar-SA"/>
              </w:rPr>
              <w:t>10</w:t>
            </w:r>
          </w:p>
        </w:tc>
        <w:tc>
          <w:tcPr>
            <w:tcW w:w="1134" w:type="dxa"/>
            <w:tcBorders>
              <w:bottom w:val="single" w:sz="4" w:space="0" w:color="auto"/>
            </w:tcBorders>
            <w:shd w:val="clear" w:color="auto" w:fill="FFFFFF" w:themeFill="background1"/>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 xml:space="preserve">1 </w:t>
            </w:r>
            <w:r>
              <w:rPr>
                <w:rFonts w:eastAsia="Calibri"/>
                <w:i w:val="0"/>
                <w:sz w:val="22"/>
                <w:szCs w:val="22"/>
                <w:lang w:bidi="ar-SA"/>
              </w:rPr>
              <w:t>67</w:t>
            </w:r>
            <w:r w:rsidRPr="003814E9">
              <w:rPr>
                <w:rFonts w:eastAsia="Calibri"/>
                <w:i w:val="0"/>
                <w:sz w:val="22"/>
                <w:szCs w:val="22"/>
                <w:lang w:bidi="ar-SA"/>
              </w:rPr>
              <w:t>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5407B6">
        <w:trPr>
          <w:cantSplit/>
          <w:trHeight w:val="1071"/>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A93F02" w:rsidP="00147703">
            <w:pPr>
              <w:spacing w:line="240" w:lineRule="auto"/>
              <w:jc w:val="right"/>
              <w:rPr>
                <w:rFonts w:eastAsia="Calibri"/>
                <w:i w:val="0"/>
                <w:sz w:val="22"/>
                <w:szCs w:val="22"/>
                <w:lang w:bidi="ar-SA"/>
              </w:rPr>
            </w:pPr>
            <w:r>
              <w:rPr>
                <w:rFonts w:eastAsia="Calibri"/>
                <w:i w:val="0"/>
                <w:sz w:val="22"/>
                <w:szCs w:val="22"/>
                <w:lang w:bidi="ar-SA"/>
              </w:rPr>
              <w:t>80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FFFF00"/>
            <w:vAlign w:val="center"/>
          </w:tcPr>
          <w:p w:rsidR="00147703" w:rsidRPr="003814E9" w:rsidRDefault="005407B6" w:rsidP="00147703">
            <w:pPr>
              <w:spacing w:line="240" w:lineRule="auto"/>
              <w:jc w:val="center"/>
              <w:rPr>
                <w:rFonts w:eastAsia="Calibri"/>
                <w:i w:val="0"/>
                <w:color w:val="000000"/>
                <w:sz w:val="22"/>
                <w:szCs w:val="22"/>
                <w:lang w:bidi="ar-SA"/>
              </w:rPr>
            </w:pPr>
            <w:r>
              <w:rPr>
                <w:rFonts w:eastAsia="Calibri"/>
                <w:i w:val="0"/>
                <w:sz w:val="22"/>
                <w:szCs w:val="22"/>
                <w:lang w:bidi="ar-SA"/>
              </w:rPr>
              <w:t>1 szt.</w:t>
            </w:r>
          </w:p>
        </w:tc>
        <w:tc>
          <w:tcPr>
            <w:tcW w:w="850" w:type="dxa"/>
            <w:tcBorders>
              <w:bottom w:val="single" w:sz="4" w:space="0" w:color="auto"/>
            </w:tcBorders>
            <w:shd w:val="clear" w:color="auto" w:fill="FFFF00"/>
            <w:vAlign w:val="center"/>
          </w:tcPr>
          <w:p w:rsidR="00147703" w:rsidRPr="003814E9" w:rsidRDefault="005407B6" w:rsidP="00147703">
            <w:pPr>
              <w:spacing w:line="240" w:lineRule="auto"/>
              <w:jc w:val="center"/>
              <w:rPr>
                <w:rFonts w:eastAsia="Calibri"/>
                <w:i w:val="0"/>
                <w:color w:val="000000"/>
                <w:sz w:val="22"/>
                <w:szCs w:val="22"/>
                <w:lang w:bidi="ar-SA"/>
              </w:rPr>
            </w:pPr>
            <w:r>
              <w:rPr>
                <w:rFonts w:eastAsia="Calibri"/>
                <w:i w:val="0"/>
                <w:sz w:val="22"/>
                <w:szCs w:val="22"/>
                <w:lang w:bidi="ar-SA"/>
              </w:rPr>
              <w:t>100</w:t>
            </w:r>
          </w:p>
        </w:tc>
        <w:tc>
          <w:tcPr>
            <w:tcW w:w="992" w:type="dxa"/>
            <w:gridSpan w:val="2"/>
            <w:tcBorders>
              <w:bottom w:val="single" w:sz="4" w:space="0" w:color="auto"/>
            </w:tcBorders>
            <w:shd w:val="clear" w:color="auto" w:fill="FFFF00"/>
            <w:vAlign w:val="center"/>
          </w:tcPr>
          <w:p w:rsidR="00147703" w:rsidRPr="003814E9" w:rsidRDefault="005407B6" w:rsidP="00147703">
            <w:pPr>
              <w:spacing w:line="240" w:lineRule="auto"/>
              <w:jc w:val="center"/>
              <w:rPr>
                <w:rFonts w:eastAsia="Calibri"/>
                <w:i w:val="0"/>
                <w:color w:val="000000"/>
                <w:sz w:val="22"/>
                <w:szCs w:val="22"/>
                <w:lang w:bidi="ar-SA"/>
              </w:rPr>
            </w:pPr>
            <w:r>
              <w:rPr>
                <w:rFonts w:eastAsia="Calibri"/>
                <w:i w:val="0"/>
                <w:sz w:val="22"/>
                <w:szCs w:val="22"/>
                <w:lang w:bidi="ar-SA"/>
              </w:rPr>
              <w:t>260 000</w:t>
            </w:r>
          </w:p>
        </w:tc>
        <w:tc>
          <w:tcPr>
            <w:tcW w:w="709" w:type="dxa"/>
            <w:tcBorders>
              <w:bottom w:val="single" w:sz="4" w:space="0" w:color="auto"/>
            </w:tcBorders>
            <w:shd w:val="clear" w:color="auto" w:fill="FFFF00"/>
            <w:vAlign w:val="center"/>
          </w:tcPr>
          <w:p w:rsidR="00147703" w:rsidRPr="003814E9" w:rsidRDefault="00A13088" w:rsidP="00A13088">
            <w:pPr>
              <w:spacing w:line="240" w:lineRule="auto"/>
              <w:jc w:val="center"/>
              <w:rPr>
                <w:rFonts w:eastAsia="Calibri"/>
                <w:i w:val="0"/>
                <w:color w:val="000000"/>
                <w:sz w:val="22"/>
                <w:szCs w:val="22"/>
                <w:lang w:bidi="ar-SA"/>
              </w:rPr>
            </w:pPr>
            <w:r>
              <w:rPr>
                <w:rFonts w:eastAsia="Calibri"/>
                <w:i w:val="0"/>
                <w:color w:val="000000"/>
                <w:sz w:val="22"/>
                <w:szCs w:val="22"/>
                <w:lang w:bidi="ar-SA"/>
              </w:rPr>
              <w:t>5</w:t>
            </w:r>
          </w:p>
        </w:tc>
        <w:tc>
          <w:tcPr>
            <w:tcW w:w="1134" w:type="dxa"/>
            <w:tcBorders>
              <w:bottom w:val="single" w:sz="4" w:space="0" w:color="auto"/>
            </w:tcBorders>
            <w:shd w:val="clear" w:color="auto" w:fill="FFFF00"/>
            <w:vAlign w:val="center"/>
          </w:tcPr>
          <w:p w:rsidR="00147703" w:rsidRPr="003814E9" w:rsidRDefault="005407B6" w:rsidP="00147703">
            <w:pPr>
              <w:spacing w:line="240" w:lineRule="auto"/>
              <w:jc w:val="right"/>
              <w:rPr>
                <w:rFonts w:eastAsia="Calibri"/>
                <w:i w:val="0"/>
                <w:color w:val="000000"/>
                <w:sz w:val="22"/>
                <w:szCs w:val="22"/>
                <w:lang w:bidi="ar-SA"/>
              </w:rPr>
            </w:pPr>
            <w:r>
              <w:rPr>
                <w:rFonts w:eastAsia="Calibri"/>
                <w:i w:val="0"/>
                <w:color w:val="000000"/>
                <w:sz w:val="22"/>
                <w:szCs w:val="22"/>
                <w:lang w:bidi="ar-SA"/>
              </w:rPr>
              <w:t>96</w:t>
            </w:r>
            <w:r w:rsidR="00147703" w:rsidRPr="003814E9">
              <w:rPr>
                <w:rFonts w:eastAsia="Calibri"/>
                <w:i w:val="0"/>
                <w:color w:val="000000"/>
                <w:sz w:val="22"/>
                <w:szCs w:val="22"/>
                <w:lang w:bidi="ar-SA"/>
              </w:rPr>
              <w:t>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78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67</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rsidTr="00147703">
        <w:trPr>
          <w:cantSplit/>
          <w:trHeight w:val="15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992" w:type="dxa"/>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rsidTr="00147703">
        <w:trPr>
          <w:cantSplit/>
          <w:trHeight w:val="127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147703" w:rsidRPr="00ED4EAE" w:rsidRDefault="00147703" w:rsidP="00147703">
            <w:pPr>
              <w:spacing w:line="240" w:lineRule="auto"/>
              <w:jc w:val="right"/>
              <w:rPr>
                <w:rFonts w:eastAsia="Calibri"/>
                <w:i w:val="0"/>
                <w:sz w:val="22"/>
                <w:szCs w:val="22"/>
                <w:highlight w:val="yellow"/>
                <w:lang w:bidi="ar-SA"/>
              </w:rPr>
            </w:pPr>
            <w:r w:rsidRPr="00D60AE7">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50 000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B20B23">
        <w:trPr>
          <w:trHeight w:val="454"/>
          <w:jc w:val="center"/>
        </w:trPr>
        <w:tc>
          <w:tcPr>
            <w:tcW w:w="4106" w:type="dxa"/>
            <w:gridSpan w:val="2"/>
            <w:shd w:val="clear" w:color="auto" w:fill="FFE599"/>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559"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2 540 000</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FFFF00"/>
            <w:vAlign w:val="center"/>
          </w:tcPr>
          <w:p w:rsidR="00147703" w:rsidRPr="00496F4D" w:rsidRDefault="005407B6" w:rsidP="00147703">
            <w:pPr>
              <w:spacing w:line="240" w:lineRule="auto"/>
              <w:jc w:val="right"/>
              <w:rPr>
                <w:rFonts w:eastAsia="Calibri"/>
                <w:b/>
                <w:i w:val="0"/>
                <w:sz w:val="22"/>
                <w:szCs w:val="22"/>
                <w:lang w:bidi="ar-SA"/>
              </w:rPr>
            </w:pPr>
            <w:r>
              <w:rPr>
                <w:rFonts w:eastAsia="Calibri"/>
                <w:b/>
                <w:i w:val="0"/>
                <w:sz w:val="22"/>
                <w:szCs w:val="22"/>
                <w:lang w:bidi="ar-SA"/>
              </w:rPr>
              <w:t>78</w:t>
            </w:r>
            <w:r w:rsidR="00147703">
              <w:rPr>
                <w:rFonts w:eastAsia="Calibri"/>
                <w:b/>
                <w:i w:val="0"/>
                <w:sz w:val="22"/>
                <w:szCs w:val="22"/>
                <w:lang w:bidi="ar-SA"/>
              </w:rPr>
              <w:t>0 00</w:t>
            </w:r>
            <w:r w:rsidR="00147703" w:rsidRPr="00496F4D">
              <w:rPr>
                <w:rFonts w:eastAsia="Calibri"/>
                <w:b/>
                <w:i w:val="0"/>
                <w:sz w:val="22"/>
                <w:szCs w:val="22"/>
                <w:lang w:bidi="ar-SA"/>
              </w:rPr>
              <w:t>0</w:t>
            </w:r>
          </w:p>
        </w:tc>
        <w:tc>
          <w:tcPr>
            <w:tcW w:w="709" w:type="dxa"/>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1134" w:type="dxa"/>
            <w:shd w:val="clear" w:color="auto" w:fill="FFFF00"/>
            <w:vAlign w:val="center"/>
          </w:tcPr>
          <w:p w:rsidR="00147703" w:rsidRPr="00655EC3" w:rsidRDefault="005407B6" w:rsidP="00147703">
            <w:pPr>
              <w:spacing w:line="240" w:lineRule="auto"/>
              <w:jc w:val="right"/>
              <w:rPr>
                <w:rFonts w:eastAsia="Calibri"/>
                <w:b/>
                <w:i w:val="0"/>
                <w:sz w:val="22"/>
                <w:szCs w:val="22"/>
                <w:lang w:bidi="ar-SA"/>
              </w:rPr>
            </w:pPr>
            <w:r>
              <w:rPr>
                <w:rFonts w:eastAsia="Calibri"/>
                <w:b/>
                <w:i w:val="0"/>
                <w:sz w:val="22"/>
                <w:szCs w:val="22"/>
                <w:lang w:bidi="ar-SA"/>
              </w:rPr>
              <w:t>3 39</w:t>
            </w:r>
            <w:r w:rsidR="00147703" w:rsidRPr="00655EC3">
              <w:rPr>
                <w:rFonts w:eastAsia="Calibri"/>
                <w:b/>
                <w:i w:val="0"/>
                <w:sz w:val="22"/>
                <w:szCs w:val="22"/>
                <w:lang w:bidi="ar-SA"/>
              </w:rPr>
              <w:t>0 000</w:t>
            </w:r>
          </w:p>
        </w:tc>
        <w:tc>
          <w:tcPr>
            <w:tcW w:w="992"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r>
      <w:tr w:rsidR="00147703" w:rsidRPr="003814E9" w:rsidTr="00B20B23">
        <w:trPr>
          <w:trHeight w:val="340"/>
          <w:jc w:val="center"/>
        </w:trPr>
        <w:tc>
          <w:tcPr>
            <w:tcW w:w="4106" w:type="dxa"/>
            <w:gridSpan w:val="2"/>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559"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FFFF00"/>
            <w:vAlign w:val="center"/>
          </w:tcPr>
          <w:p w:rsidR="00147703" w:rsidRPr="00496F4D" w:rsidRDefault="005407B6" w:rsidP="00147703">
            <w:pPr>
              <w:spacing w:line="240" w:lineRule="auto"/>
              <w:jc w:val="right"/>
              <w:rPr>
                <w:rFonts w:eastAsia="Calibri"/>
                <w:b/>
                <w:i w:val="0"/>
                <w:sz w:val="22"/>
                <w:szCs w:val="22"/>
                <w:lang w:bidi="ar-SA"/>
              </w:rPr>
            </w:pPr>
            <w:r>
              <w:rPr>
                <w:rFonts w:eastAsia="Calibri"/>
                <w:b/>
                <w:i w:val="0"/>
                <w:sz w:val="22"/>
                <w:szCs w:val="22"/>
                <w:lang w:bidi="ar-SA"/>
              </w:rPr>
              <w:t>104</w:t>
            </w:r>
            <w:r w:rsidR="00147703">
              <w:rPr>
                <w:rFonts w:eastAsia="Calibri"/>
                <w:b/>
                <w:i w:val="0"/>
                <w:sz w:val="22"/>
                <w:szCs w:val="22"/>
                <w:lang w:bidi="ar-SA"/>
              </w:rPr>
              <w:t>0 00</w:t>
            </w:r>
            <w:r w:rsidR="00147703" w:rsidRPr="00496F4D">
              <w:rPr>
                <w:rFonts w:eastAsia="Calibri"/>
                <w:b/>
                <w:i w:val="0"/>
                <w:sz w:val="22"/>
                <w:szCs w:val="22"/>
                <w:lang w:bidi="ar-SA"/>
              </w:rPr>
              <w:t>0</w:t>
            </w:r>
          </w:p>
        </w:tc>
        <w:tc>
          <w:tcPr>
            <w:tcW w:w="709" w:type="dxa"/>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shd w:val="clear" w:color="auto" w:fill="FFFF00"/>
            <w:vAlign w:val="center"/>
          </w:tcPr>
          <w:p w:rsidR="00147703" w:rsidRPr="00655EC3" w:rsidRDefault="00D5282B" w:rsidP="00147703">
            <w:pPr>
              <w:spacing w:line="240" w:lineRule="auto"/>
              <w:jc w:val="right"/>
              <w:rPr>
                <w:rFonts w:eastAsia="Calibri"/>
                <w:b/>
                <w:i w:val="0"/>
                <w:sz w:val="22"/>
                <w:szCs w:val="22"/>
                <w:lang w:bidi="ar-SA"/>
              </w:rPr>
            </w:pPr>
            <w:r>
              <w:rPr>
                <w:rFonts w:eastAsia="Calibri"/>
                <w:b/>
                <w:i w:val="0"/>
                <w:sz w:val="22"/>
                <w:szCs w:val="22"/>
                <w:lang w:bidi="ar-SA"/>
              </w:rPr>
              <w:t>6 087</w:t>
            </w:r>
            <w:r w:rsidR="00147703" w:rsidRPr="00655EC3">
              <w:rPr>
                <w:rFonts w:eastAsia="Calibri"/>
                <w:b/>
                <w:i w:val="0"/>
                <w:sz w:val="22"/>
                <w:szCs w:val="22"/>
                <w:lang w:bidi="ar-SA"/>
              </w:rPr>
              <w:t xml:space="preserve"> 500</w:t>
            </w:r>
          </w:p>
        </w:tc>
        <w:tc>
          <w:tcPr>
            <w:tcW w:w="992" w:type="dxa"/>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20B23">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7703" w:rsidRPr="00496F4D" w:rsidRDefault="005407B6" w:rsidP="00147703">
            <w:pPr>
              <w:spacing w:line="240" w:lineRule="auto"/>
              <w:jc w:val="right"/>
              <w:rPr>
                <w:rFonts w:eastAsia="Calibri"/>
                <w:b/>
                <w:i w:val="0"/>
                <w:sz w:val="22"/>
                <w:szCs w:val="22"/>
                <w:lang w:bidi="ar-SA"/>
              </w:rPr>
            </w:pPr>
            <w:r>
              <w:rPr>
                <w:rFonts w:eastAsia="Calibri"/>
                <w:b/>
                <w:i w:val="0"/>
                <w:sz w:val="22"/>
                <w:szCs w:val="22"/>
                <w:lang w:bidi="ar-SA"/>
              </w:rPr>
              <w:t>104</w:t>
            </w:r>
            <w:r w:rsidR="00147703">
              <w:rPr>
                <w:rFonts w:eastAsia="Calibri"/>
                <w:b/>
                <w:i w:val="0"/>
                <w:sz w:val="22"/>
                <w:szCs w:val="22"/>
                <w:lang w:bidi="ar-SA"/>
              </w:rPr>
              <w:t>0 00</w:t>
            </w:r>
            <w:r w:rsidR="00147703" w:rsidRPr="00496F4D">
              <w:rPr>
                <w:rFonts w:eastAsia="Calibri"/>
                <w:b/>
                <w:i w:val="0"/>
                <w:sz w:val="22"/>
                <w:szCs w:val="22"/>
                <w:lang w:bidi="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47703" w:rsidRPr="00655EC3" w:rsidRDefault="00D5282B" w:rsidP="00147703">
            <w:pPr>
              <w:spacing w:line="240" w:lineRule="auto"/>
              <w:jc w:val="right"/>
              <w:rPr>
                <w:rFonts w:eastAsia="Calibri"/>
                <w:b/>
                <w:i w:val="0"/>
                <w:sz w:val="22"/>
                <w:szCs w:val="22"/>
                <w:lang w:bidi="ar-SA"/>
              </w:rPr>
            </w:pPr>
            <w:r>
              <w:rPr>
                <w:rFonts w:eastAsia="Calibri"/>
                <w:b/>
                <w:i w:val="0"/>
                <w:sz w:val="22"/>
                <w:szCs w:val="22"/>
                <w:lang w:bidi="ar-SA"/>
              </w:rPr>
              <w:t>6 087</w:t>
            </w:r>
            <w:r w:rsidR="00147703" w:rsidRPr="00655EC3">
              <w:rPr>
                <w:rFonts w:eastAsia="Calibri"/>
                <w:b/>
                <w:i w:val="0"/>
                <w:sz w:val="22"/>
                <w:szCs w:val="22"/>
                <w:lang w:bidi="ar-SA"/>
              </w:rPr>
              <w:t xml:space="preserve"> 500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B2BFB">
        <w:tblPrEx>
          <w:shd w:val="clear" w:color="auto" w:fill="FFFFFF"/>
        </w:tblPrEx>
        <w:trPr>
          <w:trHeight w:val="340"/>
          <w:jc w:val="center"/>
        </w:trPr>
        <w:tc>
          <w:tcPr>
            <w:tcW w:w="12044" w:type="dxa"/>
            <w:gridSpan w:val="1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686" w:type="dxa"/>
            <w:gridSpan w:val="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rsidTr="00B20B23">
        <w:tblPrEx>
          <w:shd w:val="clear" w:color="auto" w:fill="FFFFFF"/>
        </w:tblPrEx>
        <w:trPr>
          <w:trHeight w:val="340"/>
          <w:jc w:val="center"/>
        </w:trPr>
        <w:tc>
          <w:tcPr>
            <w:tcW w:w="10768" w:type="dxa"/>
            <w:gridSpan w:val="11"/>
            <w:shd w:val="clear" w:color="auto" w:fill="BFBFBF"/>
          </w:tcPr>
          <w:p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FFFF00"/>
          </w:tcPr>
          <w:p w:rsidR="00147703" w:rsidRPr="003814E9" w:rsidRDefault="00775157" w:rsidP="00147703">
            <w:pPr>
              <w:spacing w:line="240" w:lineRule="auto"/>
              <w:jc w:val="right"/>
              <w:rPr>
                <w:rFonts w:eastAsia="Calibri"/>
                <w:b/>
                <w:i w:val="0"/>
                <w:sz w:val="22"/>
                <w:szCs w:val="22"/>
                <w:lang w:bidi="ar-SA"/>
              </w:rPr>
            </w:pPr>
            <w:r>
              <w:rPr>
                <w:rFonts w:eastAsia="Calibri"/>
                <w:b/>
                <w:i w:val="0"/>
                <w:sz w:val="22"/>
                <w:szCs w:val="22"/>
                <w:lang w:bidi="ar-SA"/>
              </w:rPr>
              <w:t>3 23</w:t>
            </w:r>
            <w:r w:rsidR="00147703" w:rsidRPr="003814E9">
              <w:rPr>
                <w:rFonts w:eastAsia="Calibri"/>
                <w:b/>
                <w:i w:val="0"/>
                <w:sz w:val="22"/>
                <w:szCs w:val="22"/>
                <w:lang w:bidi="ar-SA"/>
              </w:rPr>
              <w:t>0 000</w:t>
            </w:r>
          </w:p>
        </w:tc>
        <w:tc>
          <w:tcPr>
            <w:tcW w:w="3686" w:type="dxa"/>
            <w:gridSpan w:val="3"/>
            <w:shd w:val="clear" w:color="auto" w:fill="FFFF00"/>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5</w:t>
            </w:r>
            <w:r w:rsidR="00775157">
              <w:rPr>
                <w:rFonts w:eastAsia="Calibri"/>
                <w:b/>
                <w:i w:val="0"/>
                <w:sz w:val="22"/>
                <w:szCs w:val="22"/>
                <w:lang w:bidi="ar-SA"/>
              </w:rPr>
              <w:t>5,79</w:t>
            </w:r>
          </w:p>
        </w:tc>
      </w:tr>
    </w:tbl>
    <w:p w:rsidR="00004AEB" w:rsidRPr="003814E9" w:rsidRDefault="00004AEB">
      <w:pPr>
        <w:jc w:val="left"/>
        <w:rPr>
          <w:i w:val="0"/>
          <w:color w:val="000000" w:themeColor="text1"/>
        </w:rPr>
      </w:pP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A3E07">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FFFF00"/>
            <w:vAlign w:val="center"/>
          </w:tcPr>
          <w:p w:rsidR="00004AEB" w:rsidRPr="00655EC3" w:rsidRDefault="00775157" w:rsidP="00004AEB">
            <w:pPr>
              <w:spacing w:after="60" w:line="276" w:lineRule="auto"/>
              <w:jc w:val="center"/>
              <w:rPr>
                <w:rFonts w:eastAsia="Calibri"/>
                <w:b/>
                <w:i w:val="0"/>
                <w:sz w:val="22"/>
                <w:szCs w:val="22"/>
              </w:rPr>
            </w:pPr>
            <w:r>
              <w:rPr>
                <w:rFonts w:eastAsia="Calibri"/>
                <w:b/>
                <w:i w:val="0"/>
                <w:sz w:val="22"/>
                <w:szCs w:val="22"/>
              </w:rPr>
              <w:t>5 790</w:t>
            </w:r>
            <w:r w:rsidR="00004AEB" w:rsidRPr="00655EC3">
              <w:rPr>
                <w:rFonts w:eastAsia="Calibri"/>
                <w:b/>
                <w:i w:val="0"/>
                <w:sz w:val="22"/>
                <w:szCs w:val="22"/>
              </w:rPr>
              <w:t>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FFFF00"/>
            <w:vAlign w:val="center"/>
          </w:tcPr>
          <w:p w:rsidR="00004AEB" w:rsidRPr="00655EC3" w:rsidRDefault="00775157" w:rsidP="00004AEB">
            <w:pPr>
              <w:spacing w:after="60" w:line="276" w:lineRule="auto"/>
              <w:jc w:val="center"/>
              <w:rPr>
                <w:rFonts w:eastAsia="Calibri"/>
                <w:b/>
                <w:i w:val="0"/>
                <w:sz w:val="22"/>
                <w:szCs w:val="22"/>
              </w:rPr>
            </w:pPr>
            <w:r>
              <w:rPr>
                <w:rFonts w:eastAsia="Calibri"/>
                <w:b/>
                <w:i w:val="0"/>
                <w:sz w:val="22"/>
                <w:szCs w:val="22"/>
              </w:rPr>
              <w:t>5 79</w:t>
            </w:r>
            <w:r w:rsidR="00215B26" w:rsidRPr="00655EC3">
              <w:rPr>
                <w:rFonts w:eastAsia="Calibri"/>
                <w:b/>
                <w:i w:val="0"/>
                <w:sz w:val="22"/>
                <w:szCs w:val="22"/>
              </w:rPr>
              <w:t>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655EC3" w:rsidRDefault="00547764" w:rsidP="00547764">
            <w:pPr>
              <w:spacing w:after="60" w:line="276" w:lineRule="auto"/>
              <w:jc w:val="center"/>
              <w:rPr>
                <w:rFonts w:eastAsia="Calibri"/>
                <w:b/>
                <w:i w:val="0"/>
                <w:sz w:val="22"/>
                <w:szCs w:val="22"/>
              </w:rPr>
            </w:pPr>
            <w:r w:rsidRPr="00655EC3">
              <w:rPr>
                <w:rFonts w:eastAsia="Calibri"/>
                <w:b/>
                <w:i w:val="0"/>
                <w:sz w:val="22"/>
                <w:szCs w:val="22"/>
              </w:rPr>
              <w:t>237 500</w:t>
            </w:r>
          </w:p>
        </w:tc>
        <w:tc>
          <w:tcPr>
            <w:tcW w:w="1082"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269" w:type="dxa"/>
            <w:vAlign w:val="center"/>
          </w:tcPr>
          <w:p w:rsidR="00547764" w:rsidRPr="00655EC3" w:rsidRDefault="00547764" w:rsidP="002E4FB3">
            <w:pPr>
              <w:spacing w:after="60" w:line="276" w:lineRule="auto"/>
              <w:jc w:val="center"/>
              <w:rPr>
                <w:rFonts w:eastAsia="Calibri"/>
                <w:b/>
                <w:i w:val="0"/>
                <w:sz w:val="22"/>
                <w:szCs w:val="22"/>
              </w:rPr>
            </w:pPr>
            <w:r w:rsidRPr="00655EC3">
              <w:rPr>
                <w:rFonts w:eastAsia="Calibri"/>
                <w:b/>
                <w:i w:val="0"/>
                <w:sz w:val="22"/>
                <w:szCs w:val="22"/>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c>
          <w:tcPr>
            <w:tcW w:w="1082" w:type="dxa"/>
            <w:tcBorders>
              <w:tl2br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r>
      <w:tr w:rsidR="00004AEB" w:rsidRPr="003814E9" w:rsidTr="000A3E07">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FFFF00"/>
            <w:vAlign w:val="center"/>
          </w:tcPr>
          <w:p w:rsidR="00004AEB" w:rsidRPr="00655EC3" w:rsidRDefault="00A75B87" w:rsidP="00A975F7">
            <w:pPr>
              <w:spacing w:after="60" w:line="276" w:lineRule="auto"/>
              <w:jc w:val="center"/>
              <w:rPr>
                <w:rFonts w:eastAsia="Calibri"/>
                <w:b/>
                <w:i w:val="0"/>
                <w:sz w:val="22"/>
                <w:szCs w:val="22"/>
              </w:rPr>
            </w:pPr>
            <w:r>
              <w:rPr>
                <w:rFonts w:eastAsia="Calibri"/>
                <w:b/>
                <w:i w:val="0"/>
                <w:sz w:val="22"/>
                <w:szCs w:val="22"/>
              </w:rPr>
              <w:t>7</w:t>
            </w:r>
            <w:r w:rsidR="00004AEB" w:rsidRPr="00655EC3">
              <w:rPr>
                <w:rFonts w:eastAsia="Calibri"/>
                <w:b/>
                <w:i w:val="0"/>
                <w:sz w:val="22"/>
                <w:szCs w:val="22"/>
              </w:rPr>
              <w:t> </w:t>
            </w:r>
            <w:r>
              <w:rPr>
                <w:rFonts w:eastAsia="Calibri"/>
                <w:b/>
                <w:i w:val="0"/>
                <w:sz w:val="22"/>
                <w:szCs w:val="22"/>
              </w:rPr>
              <w:t>215</w:t>
            </w:r>
            <w:r w:rsidR="00547764" w:rsidRPr="00655EC3">
              <w:rPr>
                <w:rFonts w:eastAsia="Calibri"/>
                <w:b/>
                <w:i w:val="0"/>
                <w:sz w:val="22"/>
                <w:szCs w:val="22"/>
              </w:rPr>
              <w:t xml:space="preserve"> 0</w:t>
            </w:r>
            <w:r w:rsidR="00004AEB" w:rsidRPr="00655EC3">
              <w:rPr>
                <w:rFonts w:eastAsia="Calibri"/>
                <w:b/>
                <w:i w:val="0"/>
                <w:sz w:val="22"/>
                <w:szCs w:val="22"/>
              </w:rPr>
              <w:t>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FFFF00"/>
            <w:vAlign w:val="center"/>
          </w:tcPr>
          <w:p w:rsidR="00004AEB" w:rsidRPr="00655EC3" w:rsidRDefault="00775157" w:rsidP="00775157">
            <w:pPr>
              <w:spacing w:after="60" w:line="276" w:lineRule="auto"/>
              <w:rPr>
                <w:rFonts w:eastAsia="Calibri"/>
                <w:b/>
                <w:i w:val="0"/>
                <w:sz w:val="22"/>
                <w:szCs w:val="22"/>
              </w:rPr>
            </w:pPr>
            <w:r>
              <w:rPr>
                <w:rFonts w:eastAsia="Calibri"/>
                <w:b/>
                <w:i w:val="0"/>
                <w:sz w:val="22"/>
                <w:szCs w:val="22"/>
              </w:rPr>
              <w:t xml:space="preserve"> 7 215</w:t>
            </w:r>
            <w:r w:rsidR="00547764" w:rsidRPr="00655EC3">
              <w:rPr>
                <w:rFonts w:eastAsia="Calibri"/>
                <w:b/>
                <w:i w:val="0"/>
                <w:sz w:val="22"/>
                <w:szCs w:val="22"/>
              </w:rPr>
              <w:t xml:space="preserve"> 0</w:t>
            </w:r>
            <w:r w:rsidR="00004AEB" w:rsidRPr="00655EC3">
              <w:rPr>
                <w:rFonts w:eastAsia="Calibri"/>
                <w:b/>
                <w:i w:val="0"/>
                <w:sz w:val="22"/>
                <w:szCs w:val="22"/>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A3E07">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shd w:val="clear" w:color="auto" w:fill="FFFF00"/>
            <w:vAlign w:val="center"/>
          </w:tcPr>
          <w:p w:rsidR="00004AEB" w:rsidRPr="00655EC3" w:rsidRDefault="00004AEB" w:rsidP="002A637A">
            <w:pPr>
              <w:jc w:val="center"/>
              <w:rPr>
                <w:rFonts w:eastAsia="Calibri"/>
                <w:b/>
                <w:i w:val="0"/>
                <w:sz w:val="22"/>
              </w:rPr>
            </w:pPr>
            <w:r w:rsidRPr="00655EC3">
              <w:rPr>
                <w:rFonts w:eastAsia="Calibri"/>
                <w:b/>
                <w:i w:val="0"/>
                <w:sz w:val="22"/>
              </w:rPr>
              <w:t>3</w:t>
            </w:r>
            <w:r w:rsidR="00B73B05">
              <w:rPr>
                <w:rFonts w:eastAsia="Calibri"/>
                <w:b/>
                <w:i w:val="0"/>
                <w:sz w:val="22"/>
              </w:rPr>
              <w:t> 684 177</w:t>
            </w:r>
          </w:p>
        </w:tc>
        <w:tc>
          <w:tcPr>
            <w:tcW w:w="1841" w:type="dxa"/>
            <w:shd w:val="clear" w:color="auto" w:fill="FFFF00"/>
            <w:vAlign w:val="center"/>
          </w:tcPr>
          <w:p w:rsidR="00004AEB" w:rsidRPr="00655EC3" w:rsidRDefault="00B73B05" w:rsidP="002A637A">
            <w:pPr>
              <w:jc w:val="center"/>
              <w:rPr>
                <w:rFonts w:eastAsia="Calibri"/>
                <w:b/>
                <w:i w:val="0"/>
                <w:sz w:val="22"/>
              </w:rPr>
            </w:pPr>
            <w:r>
              <w:rPr>
                <w:rFonts w:eastAsia="Calibri"/>
                <w:b/>
                <w:i w:val="0"/>
                <w:sz w:val="22"/>
              </w:rPr>
              <w:t>2 105 823</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2" w:type="dxa"/>
            <w:shd w:val="clear" w:color="auto" w:fill="FFFF00"/>
            <w:vAlign w:val="center"/>
          </w:tcPr>
          <w:p w:rsidR="00004AEB" w:rsidRPr="00655EC3" w:rsidRDefault="009602FC" w:rsidP="00215B26">
            <w:pPr>
              <w:jc w:val="center"/>
              <w:rPr>
                <w:rFonts w:eastAsia="Calibri"/>
                <w:b/>
                <w:i w:val="0"/>
                <w:sz w:val="22"/>
              </w:rPr>
            </w:pPr>
            <w:r>
              <w:rPr>
                <w:rFonts w:eastAsia="Calibri"/>
                <w:b/>
                <w:i w:val="0"/>
                <w:sz w:val="22"/>
              </w:rPr>
              <w:t>5 79</w:t>
            </w:r>
            <w:r w:rsidR="00215B26" w:rsidRPr="00655EC3">
              <w:rPr>
                <w:rFonts w:eastAsia="Calibri"/>
                <w:b/>
                <w:i w:val="0"/>
                <w:sz w:val="22"/>
              </w:rPr>
              <w:t>0 000</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r>
      <w:tr w:rsidR="00004AEB" w:rsidRPr="003814E9" w:rsidTr="000A3E0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shd w:val="clear" w:color="auto" w:fill="FFFF00"/>
            <w:vAlign w:val="center"/>
          </w:tcPr>
          <w:p w:rsidR="00004AEB" w:rsidRPr="00655EC3" w:rsidRDefault="00004AEB" w:rsidP="002A637A">
            <w:pPr>
              <w:jc w:val="center"/>
              <w:rPr>
                <w:rFonts w:eastAsia="Calibri"/>
                <w:b/>
                <w:i w:val="0"/>
                <w:sz w:val="22"/>
              </w:rPr>
            </w:pPr>
            <w:r w:rsidRPr="00655EC3">
              <w:rPr>
                <w:rFonts w:eastAsia="Calibri"/>
                <w:b/>
                <w:i w:val="0"/>
                <w:sz w:val="22"/>
              </w:rPr>
              <w:t>3</w:t>
            </w:r>
            <w:r w:rsidR="00B73B05">
              <w:rPr>
                <w:rFonts w:eastAsia="Calibri"/>
                <w:b/>
                <w:i w:val="0"/>
                <w:sz w:val="22"/>
              </w:rPr>
              <w:t> 684 177</w:t>
            </w:r>
          </w:p>
        </w:tc>
        <w:tc>
          <w:tcPr>
            <w:tcW w:w="1841" w:type="dxa"/>
            <w:shd w:val="clear" w:color="auto" w:fill="FFFF00"/>
            <w:vAlign w:val="center"/>
          </w:tcPr>
          <w:p w:rsidR="00004AEB" w:rsidRPr="00655EC3" w:rsidRDefault="00B73B05" w:rsidP="002A637A">
            <w:pPr>
              <w:jc w:val="center"/>
              <w:rPr>
                <w:rFonts w:eastAsia="Calibri"/>
                <w:b/>
                <w:i w:val="0"/>
                <w:sz w:val="22"/>
              </w:rPr>
            </w:pPr>
            <w:r>
              <w:rPr>
                <w:rFonts w:eastAsia="Calibri"/>
                <w:b/>
                <w:i w:val="0"/>
                <w:sz w:val="22"/>
              </w:rPr>
              <w:t>2 105 823</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shd w:val="clear" w:color="auto" w:fill="FFFF00"/>
            <w:vAlign w:val="center"/>
          </w:tcPr>
          <w:p w:rsidR="00004AEB" w:rsidRPr="00655EC3" w:rsidRDefault="00B73B05" w:rsidP="002A637A">
            <w:pPr>
              <w:jc w:val="center"/>
              <w:rPr>
                <w:rFonts w:eastAsia="Calibri"/>
                <w:b/>
                <w:i w:val="0"/>
                <w:sz w:val="22"/>
              </w:rPr>
            </w:pPr>
            <w:r>
              <w:rPr>
                <w:rFonts w:eastAsia="Calibri"/>
                <w:b/>
                <w:i w:val="0"/>
                <w:sz w:val="22"/>
              </w:rPr>
              <w:t>5 79</w:t>
            </w:r>
            <w:r w:rsidR="00215B26" w:rsidRPr="00655EC3">
              <w:rPr>
                <w:rFonts w:eastAsia="Calibri"/>
                <w:b/>
                <w:i w:val="0"/>
                <w:sz w:val="22"/>
              </w:rPr>
              <w:t>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283C9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283C9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417"/>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4D" w:rsidRDefault="00783B4D" w:rsidP="00B75E72">
      <w:pPr>
        <w:spacing w:line="240" w:lineRule="auto"/>
      </w:pPr>
      <w:r>
        <w:separator/>
      </w:r>
    </w:p>
  </w:endnote>
  <w:endnote w:type="continuationSeparator" w:id="0">
    <w:p w:rsidR="00783B4D" w:rsidRDefault="00783B4D"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Default="00684B0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EndPr/>
    <w:sdtContent>
      <w:p w:rsidR="00684B06" w:rsidRDefault="00684B06">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017ECE">
          <w:rPr>
            <w:noProof/>
            <w:sz w:val="18"/>
            <w:szCs w:val="18"/>
          </w:rPr>
          <w:t>20</w:t>
        </w:r>
        <w:r w:rsidRPr="004B2DF2">
          <w:rPr>
            <w:sz w:val="18"/>
            <w:szCs w:val="18"/>
          </w:rPr>
          <w:fldChar w:fldCharType="end"/>
        </w:r>
      </w:p>
    </w:sdtContent>
  </w:sdt>
  <w:p w:rsidR="00684B06" w:rsidRDefault="00684B06"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EndPr/>
    <w:sdtContent>
      <w:p w:rsidR="00684B06" w:rsidRPr="00B15765" w:rsidRDefault="00684B06">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017ECE">
          <w:rPr>
            <w:noProof/>
            <w:sz w:val="18"/>
            <w:szCs w:val="18"/>
          </w:rPr>
          <w:t>1</w:t>
        </w:r>
        <w:r w:rsidRPr="00B15765">
          <w:rPr>
            <w:sz w:val="18"/>
            <w:szCs w:val="18"/>
          </w:rPr>
          <w:fldChar w:fldCharType="end"/>
        </w:r>
      </w:p>
    </w:sdtContent>
  </w:sdt>
  <w:p w:rsidR="00684B06" w:rsidRDefault="00684B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4D" w:rsidRDefault="00783B4D" w:rsidP="00B75E72">
      <w:pPr>
        <w:spacing w:line="240" w:lineRule="auto"/>
      </w:pPr>
      <w:r>
        <w:separator/>
      </w:r>
    </w:p>
  </w:footnote>
  <w:footnote w:type="continuationSeparator" w:id="0">
    <w:p w:rsidR="00783B4D" w:rsidRDefault="00783B4D" w:rsidP="00B75E72">
      <w:pPr>
        <w:spacing w:line="240" w:lineRule="auto"/>
      </w:pPr>
      <w:r>
        <w:continuationSeparator/>
      </w:r>
    </w:p>
  </w:footnote>
  <w:footnote w:id="1">
    <w:p w:rsidR="00684B06" w:rsidRPr="00AC22F0" w:rsidRDefault="00684B06"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684B06" w:rsidRPr="00F671A3" w:rsidRDefault="00684B06">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684B06" w:rsidRPr="00AC22F0" w:rsidRDefault="00684B06">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684B06" w:rsidRPr="00AC22F0" w:rsidRDefault="00684B06">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684B06" w:rsidRPr="00AC22F0" w:rsidRDefault="00684B06"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684B06" w:rsidRPr="00AC22F0" w:rsidRDefault="00684B06"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684B06" w:rsidRPr="00AC22F0" w:rsidRDefault="00684B06"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684B06" w:rsidRPr="00AC22F0" w:rsidRDefault="00684B06"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684B06" w:rsidRPr="00AC22F0" w:rsidRDefault="00684B06"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684B06" w:rsidRPr="00AC22F0" w:rsidRDefault="00684B06"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684B06" w:rsidRPr="00AC22F0" w:rsidRDefault="00684B06"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684B06" w:rsidRPr="00AC22F0" w:rsidRDefault="00684B06"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684B06" w:rsidRPr="00AC22F0" w:rsidRDefault="00684B06" w:rsidP="009E68F1">
      <w:pPr>
        <w:pStyle w:val="Tekstprzypisudolnego"/>
        <w:rPr>
          <w:sz w:val="20"/>
        </w:rPr>
      </w:pPr>
    </w:p>
  </w:footnote>
  <w:footnote w:id="13">
    <w:p w:rsidR="00684B06" w:rsidRPr="00AC22F0" w:rsidRDefault="00684B06"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684B06" w:rsidRPr="00AC22F0" w:rsidRDefault="00684B06"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684B06" w:rsidRPr="00AC22F0" w:rsidRDefault="00684B06"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684B06" w:rsidRDefault="00684B06" w:rsidP="00DD7144">
      <w:pPr>
        <w:pStyle w:val="Tekstprzypisudolnego"/>
      </w:pPr>
      <w:r>
        <w:rPr>
          <w:rStyle w:val="Odwoanieprzypisudolnego"/>
        </w:rPr>
        <w:footnoteRef/>
      </w:r>
      <w:r w:rsidRPr="00CA4CDF">
        <w:rPr>
          <w:sz w:val="20"/>
        </w:rPr>
        <w:t>Zapis założeń dokumentów przytoczono w niezmienionej formie.</w:t>
      </w:r>
    </w:p>
  </w:footnote>
  <w:footnote w:id="17">
    <w:p w:rsidR="00684B06" w:rsidRPr="00AC22F0" w:rsidRDefault="00684B06"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684B06" w:rsidRPr="00AC22F0" w:rsidRDefault="00684B06"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Default="00684B0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Pr="00C869C3" w:rsidRDefault="00684B06"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Pr="00CF56C9" w:rsidRDefault="00684B06" w:rsidP="00DD103A">
    <w:pPr>
      <w:pStyle w:val="Nagwek"/>
      <w:spacing w:after="200" w:line="276" w:lineRule="auto"/>
      <w:jc w:val="center"/>
      <w:rPr>
        <w:i w:val="0"/>
      </w:rPr>
    </w:pPr>
    <w:r>
      <w:rPr>
        <w:noProof/>
        <w:lang w:eastAsia="pl-PL" w:bidi="ar-SA"/>
      </w:rPr>
      <w:drawing>
        <wp:inline distT="0" distB="0" distL="0" distR="0" wp14:anchorId="026BBCAB" wp14:editId="7A31ACB5">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5EBB8B9F" wp14:editId="5BE84ADF">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798D2D5E" wp14:editId="38125F9E">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33EAFC9A" wp14:editId="58E96F5E">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684B06" w:rsidRPr="00362108" w:rsidRDefault="00684B06" w:rsidP="00146F76">
    <w:pPr>
      <w:pStyle w:val="Nagwek"/>
      <w:jc w:val="right"/>
      <w:rPr>
        <w:sz w:val="16"/>
        <w:szCs w:val="16"/>
      </w:rPr>
    </w:pPr>
    <w:r>
      <w:rPr>
        <w:sz w:val="16"/>
        <w:szCs w:val="16"/>
      </w:rPr>
      <w:t>Z</w:t>
    </w:r>
    <w:r w:rsidR="00BB2885">
      <w:rPr>
        <w:sz w:val="16"/>
        <w:szCs w:val="16"/>
      </w:rPr>
      <w:t>ałącznik do Uchwały Zarządu nr 1/2020 z dn.17.03.2020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Default="00684B06">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6" w:rsidRDefault="00684B0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17ECE"/>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6F72"/>
    <w:rsid w:val="000B088F"/>
    <w:rsid w:val="000B1904"/>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41F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2FDE"/>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3861"/>
    <w:rsid w:val="001F3B1F"/>
    <w:rsid w:val="001F3BC6"/>
    <w:rsid w:val="001F5B59"/>
    <w:rsid w:val="001F64BE"/>
    <w:rsid w:val="001F7638"/>
    <w:rsid w:val="001F7796"/>
    <w:rsid w:val="001F7F9D"/>
    <w:rsid w:val="002009C5"/>
    <w:rsid w:val="00201283"/>
    <w:rsid w:val="00202FB6"/>
    <w:rsid w:val="00203189"/>
    <w:rsid w:val="00204C11"/>
    <w:rsid w:val="002071DB"/>
    <w:rsid w:val="002101CB"/>
    <w:rsid w:val="0021346C"/>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35E5"/>
    <w:rsid w:val="002B7E05"/>
    <w:rsid w:val="002C0930"/>
    <w:rsid w:val="002C2010"/>
    <w:rsid w:val="002C26AF"/>
    <w:rsid w:val="002C37C5"/>
    <w:rsid w:val="002C4807"/>
    <w:rsid w:val="002C59BC"/>
    <w:rsid w:val="002C7932"/>
    <w:rsid w:val="002C7D7D"/>
    <w:rsid w:val="002D3BBA"/>
    <w:rsid w:val="002D3EFE"/>
    <w:rsid w:val="002D3FA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490D"/>
    <w:rsid w:val="00305158"/>
    <w:rsid w:val="00305DDE"/>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B2336"/>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0E90"/>
    <w:rsid w:val="004F496E"/>
    <w:rsid w:val="004F5392"/>
    <w:rsid w:val="004F6BA6"/>
    <w:rsid w:val="004F70BB"/>
    <w:rsid w:val="0050066D"/>
    <w:rsid w:val="00500C18"/>
    <w:rsid w:val="00500C87"/>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07B6"/>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1D5"/>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23F"/>
    <w:rsid w:val="006743D7"/>
    <w:rsid w:val="00674625"/>
    <w:rsid w:val="0067749C"/>
    <w:rsid w:val="00677651"/>
    <w:rsid w:val="0067770F"/>
    <w:rsid w:val="00677AFC"/>
    <w:rsid w:val="00680EDD"/>
    <w:rsid w:val="006816EC"/>
    <w:rsid w:val="00681F91"/>
    <w:rsid w:val="0068354B"/>
    <w:rsid w:val="00684458"/>
    <w:rsid w:val="00684B06"/>
    <w:rsid w:val="00687473"/>
    <w:rsid w:val="00687D21"/>
    <w:rsid w:val="0069177B"/>
    <w:rsid w:val="0069328C"/>
    <w:rsid w:val="006949C8"/>
    <w:rsid w:val="006962BC"/>
    <w:rsid w:val="006A0F40"/>
    <w:rsid w:val="006A3A15"/>
    <w:rsid w:val="006A56AA"/>
    <w:rsid w:val="006A6358"/>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7D0C"/>
    <w:rsid w:val="0078111F"/>
    <w:rsid w:val="0078166D"/>
    <w:rsid w:val="00783B4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62A"/>
    <w:rsid w:val="007F0814"/>
    <w:rsid w:val="007F1391"/>
    <w:rsid w:val="007F3218"/>
    <w:rsid w:val="007F3A77"/>
    <w:rsid w:val="007F4A56"/>
    <w:rsid w:val="007F4B4A"/>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211C"/>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2FB7"/>
    <w:rsid w:val="00854CF7"/>
    <w:rsid w:val="00855118"/>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29C"/>
    <w:rsid w:val="008F5CD3"/>
    <w:rsid w:val="008F7483"/>
    <w:rsid w:val="008F7841"/>
    <w:rsid w:val="00900248"/>
    <w:rsid w:val="009008C4"/>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2FC"/>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305"/>
    <w:rsid w:val="009916CC"/>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1FF"/>
    <w:rsid w:val="009C38D2"/>
    <w:rsid w:val="009C3D5E"/>
    <w:rsid w:val="009C3DD0"/>
    <w:rsid w:val="009C52C5"/>
    <w:rsid w:val="009C660C"/>
    <w:rsid w:val="009C6984"/>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308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683"/>
    <w:rsid w:val="00A512E3"/>
    <w:rsid w:val="00A51F4E"/>
    <w:rsid w:val="00A53215"/>
    <w:rsid w:val="00A54897"/>
    <w:rsid w:val="00A550EC"/>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5B87"/>
    <w:rsid w:val="00A7605A"/>
    <w:rsid w:val="00A763FB"/>
    <w:rsid w:val="00A777C3"/>
    <w:rsid w:val="00A77DA5"/>
    <w:rsid w:val="00A80482"/>
    <w:rsid w:val="00A811BE"/>
    <w:rsid w:val="00A8143F"/>
    <w:rsid w:val="00A82886"/>
    <w:rsid w:val="00A82B53"/>
    <w:rsid w:val="00A8742F"/>
    <w:rsid w:val="00A87E5F"/>
    <w:rsid w:val="00A90AE1"/>
    <w:rsid w:val="00A934E5"/>
    <w:rsid w:val="00A93D80"/>
    <w:rsid w:val="00A93F02"/>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B23"/>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1A27"/>
    <w:rsid w:val="00B531FA"/>
    <w:rsid w:val="00B53E61"/>
    <w:rsid w:val="00B56B90"/>
    <w:rsid w:val="00B61294"/>
    <w:rsid w:val="00B62115"/>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85"/>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4D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283F"/>
    <w:rsid w:val="00C84A6A"/>
    <w:rsid w:val="00C84B66"/>
    <w:rsid w:val="00C84FBB"/>
    <w:rsid w:val="00C851E6"/>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371"/>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02950"/>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282B"/>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94"/>
    <w:rsid w:val="00E154E1"/>
    <w:rsid w:val="00E15A18"/>
    <w:rsid w:val="00E15F11"/>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3146"/>
    <w:rsid w:val="00E63A9C"/>
    <w:rsid w:val="00E66CCE"/>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3ED4"/>
    <w:rsid w:val="00EE7A0F"/>
    <w:rsid w:val="00EF1D15"/>
    <w:rsid w:val="00EF1DF8"/>
    <w:rsid w:val="00EF3315"/>
    <w:rsid w:val="00EF450A"/>
    <w:rsid w:val="00EF555D"/>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47A54"/>
    <w:rsid w:val="00F507EE"/>
    <w:rsid w:val="00F512DB"/>
    <w:rsid w:val="00F524EE"/>
    <w:rsid w:val="00F53730"/>
    <w:rsid w:val="00F5440F"/>
    <w:rsid w:val="00F602A0"/>
    <w:rsid w:val="00F60DCA"/>
    <w:rsid w:val="00F61334"/>
    <w:rsid w:val="00F61B52"/>
    <w:rsid w:val="00F624DF"/>
    <w:rsid w:val="00F63CF5"/>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D5C0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112182016"/>
        <c:axId val="112184704"/>
      </c:barChart>
      <c:catAx>
        <c:axId val="11218201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noMultiLvlLbl val="0"/>
      </c:catAx>
      <c:valAx>
        <c:axId val="11218470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114777088"/>
        <c:axId val="118624640"/>
      </c:barChart>
      <c:catAx>
        <c:axId val="114777088"/>
        <c:scaling>
          <c:orientation val="minMax"/>
        </c:scaling>
        <c:delete val="0"/>
        <c:axPos val="b"/>
        <c:numFmt formatCode="General" sourceLinked="0"/>
        <c:majorTickMark val="none"/>
        <c:minorTickMark val="none"/>
        <c:tickLblPos val="nextTo"/>
        <c:spPr>
          <a:ln>
            <a:solidFill>
              <a:schemeClr val="bg1">
                <a:lumMod val="85000"/>
              </a:schemeClr>
            </a:solidFill>
          </a:ln>
        </c:spPr>
        <c:crossAx val="118624640"/>
        <c:crosses val="autoZero"/>
        <c:auto val="1"/>
        <c:lblAlgn val="ctr"/>
        <c:lblOffset val="100"/>
        <c:noMultiLvlLbl val="0"/>
      </c:catAx>
      <c:valAx>
        <c:axId val="118624640"/>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112516480"/>
        <c:axId val="112882816"/>
      </c:barChart>
      <c:catAx>
        <c:axId val="112516480"/>
        <c:scaling>
          <c:orientation val="minMax"/>
        </c:scaling>
        <c:delete val="0"/>
        <c:axPos val="b"/>
        <c:numFmt formatCode="General" sourceLinked="0"/>
        <c:majorTickMark val="out"/>
        <c:minorTickMark val="none"/>
        <c:tickLblPos val="nextTo"/>
        <c:crossAx val="112882816"/>
        <c:crosses val="autoZero"/>
        <c:auto val="1"/>
        <c:lblAlgn val="ctr"/>
        <c:lblOffset val="100"/>
        <c:noMultiLvlLbl val="0"/>
      </c:catAx>
      <c:valAx>
        <c:axId val="112882816"/>
        <c:scaling>
          <c:orientation val="minMax"/>
        </c:scaling>
        <c:delete val="1"/>
        <c:axPos val="l"/>
        <c:majorGridlines/>
        <c:numFmt formatCode="General" sourceLinked="1"/>
        <c:majorTickMark val="out"/>
        <c:minorTickMark val="none"/>
        <c:tickLblPos val="none"/>
        <c:crossAx val="112516480"/>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D47D-8768-4FC1-AE83-B7B0349A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27005</Words>
  <Characters>162034</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2</cp:revision>
  <cp:lastPrinted>2020-02-25T11:29:00Z</cp:lastPrinted>
  <dcterms:created xsi:type="dcterms:W3CDTF">2020-09-07T11:07:00Z</dcterms:created>
  <dcterms:modified xsi:type="dcterms:W3CDTF">2020-09-07T11:07:00Z</dcterms:modified>
</cp:coreProperties>
</file>